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596E80"/>
        </w:rPr>
        <w:t>  Filed Pursuant to Rule 424(b)(5)</w:t>
      </w:r>
    </w:p>
    <w:p>
      <w:pPr>
        <w:spacing w:after="0" w:line="31"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596E80"/>
        </w:rPr>
        <w:t> Registration No. 333-277656​</w:t>
      </w:r>
    </w:p>
    <w:p>
      <w:pPr>
        <w:spacing w:after="0" w:line="9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PROSPECTUS SUPPLEMENT</w:t>
      </w:r>
    </w:p>
    <w:p>
      <w:pPr>
        <w:spacing w:after="0" w:line="20"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596E80"/>
        </w:rPr>
        <w:t>(To Prospectus Dated March 12, 2024)</w:t>
      </w:r>
    </w:p>
    <w:p>
      <w:pPr>
        <w:spacing w:after="0" w:line="16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32"/>
          <w:szCs w:val="32"/>
          <w:b w:val="1"/>
          <w:bCs w:val="1"/>
          <w:color w:val="596E80"/>
        </w:rPr>
        <w:t>PRAXIS PRECISION MEDICINES, INC.</w:t>
      </w:r>
      <w:r>
        <w:rPr>
          <w:rFonts w:ascii="Times New Roman" w:cs="Times New Roman" w:eastAsia="Times New Roman" w:hAnsi="Times New Roman"/>
          <w:sz w:val="17"/>
          <w:szCs w:val="17"/>
          <w:b w:val="1"/>
          <w:bCs w:val="1"/>
          <w:color w:val="596E8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2694305</wp:posOffset>
            </wp:positionH>
            <wp:positionV relativeFrom="paragraph">
              <wp:posOffset>147955</wp:posOffset>
            </wp:positionV>
            <wp:extent cx="143129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29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9"/>
          <w:szCs w:val="29"/>
          <w:b w:val="1"/>
          <w:bCs w:val="1"/>
          <w:color w:val="596E80"/>
        </w:rPr>
        <w:t>3,318,585 Shares of Common Stock</w:t>
      </w:r>
    </w:p>
    <w:p>
      <w:pPr>
        <w:spacing w:after="0" w:line="8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29"/>
          <w:szCs w:val="29"/>
          <w:b w:val="1"/>
          <w:bCs w:val="1"/>
          <w:color w:val="596E80"/>
        </w:rPr>
        <w:t>Pre-funded Warrants to Purchase 221,238 Shares of</w:t>
      </w:r>
    </w:p>
    <w:p>
      <w:pPr>
        <w:spacing w:after="0" w:line="2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596E80"/>
        </w:rPr>
        <w:t>Common Stock</w:t>
      </w:r>
    </w:p>
    <w:p>
      <w:pPr>
        <w:spacing w:after="0" w:line="80" w:lineRule="exact"/>
        <w:rPr>
          <w:sz w:val="24"/>
          <w:szCs w:val="24"/>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596E80"/>
        </w:rPr>
        <w:t>We are offering 3,318,585 shares of our common stock at a price of 56.50 per share. Our common stock is listed on The Nasdaq Global Select Market, or Nasdaq, under the symbol “PRAX.” On March 26, 2024, the last reported sale price of our common stock was $62.18 per share. We are also offering to certain investors, in lieu of common stock, pre-funded warrants to purchase 221,238 shares of our common stock at a price of  $56.4999 per underlying share, which equals the public offering price per share of the common stock less the $0.0001 per share exercise price for each underlying share. The pre-funded warrants will be exercisable at any time after the date of issuance, subject to an ownership limitation. This prospectus supplement also relates to the offering of the shares of our common stock issuable upon the exercise of such pre-funded warrants.</w:t>
      </w:r>
    </w:p>
    <w:p>
      <w:pPr>
        <w:spacing w:after="0" w:line="90" w:lineRule="exact"/>
        <w:rPr>
          <w:sz w:val="24"/>
          <w:szCs w:val="24"/>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i w:val="1"/>
          <w:iCs w:val="1"/>
          <w:color w:val="596E80"/>
        </w:rPr>
        <w:t xml:space="preserve">Investing in our common stock and pre-funded warrants involves a high degree of risk. Please read “Risk Factors” beginning on page </w:t>
      </w:r>
      <w:r>
        <w:rPr>
          <w:rFonts w:ascii="Times New Roman" w:cs="Times New Roman" w:eastAsia="Times New Roman" w:hAnsi="Times New Roman"/>
          <w:sz w:val="18"/>
          <w:szCs w:val="18"/>
          <w:i w:val="1"/>
          <w:iCs w:val="1"/>
          <w:u w:val="single" w:color="auto"/>
          <w:color w:val="596E80"/>
        </w:rPr>
        <w:t>S-5</w:t>
      </w:r>
      <w:r>
        <w:rPr>
          <w:rFonts w:ascii="Times New Roman" w:cs="Times New Roman" w:eastAsia="Times New Roman" w:hAnsi="Times New Roman"/>
          <w:sz w:val="18"/>
          <w:szCs w:val="18"/>
          <w:i w:val="1"/>
          <w:iCs w:val="1"/>
          <w:color w:val="596E80"/>
        </w:rPr>
        <w:t xml:space="preserve"> of this prospectus supplement, page 7 of the accompanying prospectus and under similar headings and in the documents incorporated by reference into this prospectus supplement and the accompanying prospectus. There is no established public trading market for the pre-funded warrants, and we do not expect a market to develop. We do not intend to list the pre-funded warrants on Nasdaq or any other national securities exchange or nationally recognized trading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188595</wp:posOffset>
            </wp:positionV>
            <wp:extent cx="1011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b w:val="1"/>
          <w:bCs w:val="1"/>
          <w:color w:val="596E80"/>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84455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109855</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7" w:lineRule="exact"/>
        <w:rPr>
          <w:sz w:val="24"/>
          <w:szCs w:val="24"/>
          <w:color w:val="auto"/>
        </w:rPr>
      </w:pPr>
    </w:p>
    <w:tbl>
      <w:tblPr>
        <w:tblLayout w:type="fixed"/>
        <w:tblInd w:w="126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596E80"/>
              </w:rPr>
              <w:t>Per Pre-funded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0"/>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596E80"/>
              </w:rPr>
              <w:t>​</w:t>
            </w:r>
          </w:p>
        </w:tc>
        <w:tc>
          <w:tcPr>
            <w:tcW w:w="13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596E80"/>
              </w:rPr>
              <w:t>​ ​ Per share ​ ​</w:t>
            </w: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596E80"/>
              </w:rPr>
              <w:t>Warrant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596E80"/>
              </w:rPr>
              <w:t>​ ​</w:t>
            </w:r>
          </w:p>
        </w:tc>
        <w:tc>
          <w:tcPr>
            <w:tcW w:w="11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596E80"/>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596E80"/>
              </w:rPr>
              <w:t>​</w:t>
            </w:r>
          </w:p>
        </w:tc>
      </w:tr>
      <w:tr>
        <w:trPr>
          <w:trHeight w:val="20"/>
        </w:trPr>
        <w:tc>
          <w:tcPr>
            <w:tcW w:w="4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tcBorders>
              <w:right w:val="single" w:sz="8" w:color="596E80"/>
            </w:tcBorders>
            <w:gridSpan w:val="2"/>
            <w:shd w:val="clear" w:color="auto" w:fill="596E8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596E80"/>
          </w:tcPr>
          <w:p>
            <w:pPr>
              <w:spacing w:after="0" w:line="20" w:lineRule="exact"/>
              <w:rPr>
                <w:sz w:val="1"/>
                <w:szCs w:val="1"/>
                <w:color w:val="auto"/>
              </w:rPr>
            </w:pPr>
          </w:p>
        </w:tc>
        <w:tc>
          <w:tcPr>
            <w:tcW w:w="820" w:type="dxa"/>
            <w:vAlign w:val="bottom"/>
            <w:shd w:val="clear" w:color="auto" w:fill="596E8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80" w:type="dxa"/>
            <w:vAlign w:val="bottom"/>
            <w:gridSpan w:val="2"/>
            <w:shd w:val="clear" w:color="auto" w:fill="596E8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596E80"/>
              </w:rPr>
              <w:t>Public offering price</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rPr>
              <w:t>​ ​​$ 56.50</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596E80"/>
              </w:rPr>
              <w:t>​​ ​​$</w:t>
            </w:r>
          </w:p>
        </w:tc>
        <w:tc>
          <w:tcPr>
            <w:tcW w:w="23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596E80"/>
              </w:rPr>
              <w:t>56.499900​​ ​​$ 199,999,977.38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596E80"/>
              </w:rPr>
              <w:t>​</w:t>
            </w:r>
          </w:p>
        </w:tc>
      </w:tr>
      <w:tr>
        <w:trPr>
          <w:trHeight w:val="3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596E80"/>
              </w:rPr>
              <w:t>Underwriting discounts and commissions</w:t>
            </w:r>
            <w:r>
              <w:rPr>
                <w:rFonts w:ascii="Times New Roman" w:cs="Times New Roman" w:eastAsia="Times New Roman" w:hAnsi="Times New Roman"/>
                <w:sz w:val="23"/>
                <w:szCs w:val="23"/>
                <w:color w:val="596E80"/>
                <w:vertAlign w:val="superscript"/>
              </w:rPr>
              <w:t>(1)</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596E80"/>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596E80"/>
              </w:rPr>
              <w:t>3.39</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596E80"/>
              </w:rPr>
              <w:t>​​ ​​$</w:t>
            </w: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596E80"/>
              </w:rPr>
              <w:t>3.389994​​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596E80"/>
              </w:rPr>
              <w:t>11,999,998.64​</w:t>
            </w:r>
          </w:p>
        </w:tc>
      </w:tr>
      <w:tr>
        <w:trPr>
          <w:trHeight w:val="3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596E80"/>
              </w:rPr>
              <w:t>Proceeds to Praxis Precision Medicines, Inc. before expenses</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596E80"/>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w w:val="98"/>
              </w:rPr>
              <w:t>53.11</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596E80"/>
              </w:rPr>
              <w:t>​​ ​​$</w:t>
            </w:r>
          </w:p>
        </w:tc>
        <w:tc>
          <w:tcPr>
            <w:tcW w:w="23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596E80"/>
              </w:rPr>
              <w:t>53.109906​​ ​​$ 187,999,978.73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596E80"/>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5060315</wp:posOffset>
            </wp:positionH>
            <wp:positionV relativeFrom="paragraph">
              <wp:posOffset>-574040</wp:posOffset>
            </wp:positionV>
            <wp:extent cx="137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-574040</wp:posOffset>
            </wp:positionV>
            <wp:extent cx="3625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58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5212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5212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53" w:lineRule="exact"/>
        <w:rPr>
          <w:sz w:val="24"/>
          <w:szCs w:val="24"/>
          <w:color w:val="auto"/>
        </w:rPr>
      </w:pPr>
    </w:p>
    <w:p>
      <w:pPr>
        <w:ind w:left="1420" w:hanging="160"/>
        <w:spacing w:after="0"/>
        <w:tabs>
          <w:tab w:leader="none" w:pos="1420" w:val="left"/>
        </w:tabs>
        <w:numPr>
          <w:ilvl w:val="0"/>
          <w:numId w:val="1"/>
        </w:numPr>
        <w:rPr>
          <w:rFonts w:ascii="Times New Roman" w:cs="Times New Roman" w:eastAsia="Times New Roman" w:hAnsi="Times New Roman"/>
          <w:sz w:val="20"/>
          <w:szCs w:val="20"/>
          <w:color w:val="596E80"/>
          <w:vertAlign w:val="superscript"/>
        </w:rPr>
      </w:pPr>
      <w:r>
        <w:rPr>
          <w:rFonts w:ascii="Times New Roman" w:cs="Times New Roman" w:eastAsia="Times New Roman" w:hAnsi="Times New Roman"/>
          <w:sz w:val="14"/>
          <w:szCs w:val="14"/>
          <w:color w:val="596E80"/>
        </w:rPr>
        <w:t>We have agreed to reimburse the underwriters for certain expenses. See “Underwriting.”</w:t>
      </w:r>
    </w:p>
    <w:p>
      <w:pPr>
        <w:spacing w:after="0" w:line="73" w:lineRule="exact"/>
        <w:rPr>
          <w:sz w:val="24"/>
          <w:szCs w:val="24"/>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596E80"/>
        </w:rPr>
        <w:t>We have granted the underwriters an option for a period of 30 days to purchase up to an additional 530,973 shares of our common stock at the public offering price, less underwriting discounts and commissions. Delivery of the shares of common stock and the pre-funded warrants is expected to be made on or about April 2, 2024.</w:t>
      </w:r>
    </w:p>
    <w:p>
      <w:pPr>
        <w:spacing w:after="0" w:line="5"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596E80"/>
        </w:rPr>
        <w:t>Book-Running Managers</w:t>
      </w:r>
    </w:p>
    <w:p>
      <w:pPr>
        <w:spacing w:after="0" w:line="90" w:lineRule="exact"/>
        <w:rPr>
          <w:sz w:val="24"/>
          <w:szCs w:val="24"/>
          <w:color w:val="auto"/>
        </w:rPr>
      </w:pPr>
    </w:p>
    <w:p>
      <w:pPr>
        <w:jc w:val="center"/>
        <w:ind w:right="-840"/>
        <w:spacing w:after="0"/>
        <w:tabs>
          <w:tab w:leader="none" w:pos="440" w:val="left"/>
          <w:tab w:leader="none" w:pos="340" w:val="left"/>
        </w:tabs>
        <w:rPr>
          <w:sz w:val="20"/>
          <w:szCs w:val="20"/>
          <w:color w:val="auto"/>
        </w:rPr>
      </w:pPr>
      <w:r>
        <w:rPr>
          <w:rFonts w:ascii="Times New Roman" w:cs="Times New Roman" w:eastAsia="Times New Roman" w:hAnsi="Times New Roman"/>
          <w:sz w:val="32"/>
          <w:szCs w:val="32"/>
          <w:b w:val="1"/>
          <w:bCs w:val="1"/>
          <w:color w:val="596E80"/>
        </w:rPr>
        <w:t>Piper Sandler</w:t>
        <w:tab/>
        <w:t>Guggenheim Securities</w:t>
      </w:r>
      <w:r>
        <w:rPr>
          <w:sz w:val="20"/>
          <w:szCs w:val="20"/>
          <w:color w:val="auto"/>
        </w:rPr>
        <w:tab/>
      </w:r>
      <w:r>
        <w:rPr>
          <w:rFonts w:ascii="Times New Roman" w:cs="Times New Roman" w:eastAsia="Times New Roman" w:hAnsi="Times New Roman"/>
          <w:sz w:val="31"/>
          <w:szCs w:val="31"/>
          <w:b w:val="1"/>
          <w:bCs w:val="1"/>
          <w:color w:val="596E80"/>
        </w:rPr>
        <w:t>Truist Securities</w:t>
      </w:r>
    </w:p>
    <w:p>
      <w:pPr>
        <w:spacing w:after="0" w:line="1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596E80"/>
        </w:rPr>
        <w:t>Co-Lead Managers</w:t>
      </w:r>
    </w:p>
    <w:p>
      <w:pPr>
        <w:spacing w:after="0" w:line="99" w:lineRule="exact"/>
        <w:rPr>
          <w:sz w:val="24"/>
          <w:szCs w:val="24"/>
          <w:color w:val="auto"/>
        </w:rPr>
      </w:pPr>
    </w:p>
    <w:p>
      <w:pPr>
        <w:ind w:left="1620"/>
        <w:spacing w:after="0"/>
        <w:tabs>
          <w:tab w:leader="none" w:pos="5440" w:val="left"/>
          <w:tab w:leader="none" w:pos="6240" w:val="left"/>
        </w:tabs>
        <w:rPr>
          <w:sz w:val="20"/>
          <w:szCs w:val="20"/>
          <w:color w:val="auto"/>
        </w:rPr>
      </w:pPr>
      <w:r>
        <w:rPr>
          <w:rFonts w:ascii="Times New Roman" w:cs="Times New Roman" w:eastAsia="Times New Roman" w:hAnsi="Times New Roman"/>
          <w:sz w:val="29"/>
          <w:szCs w:val="29"/>
          <w:b w:val="1"/>
          <w:bCs w:val="1"/>
          <w:color w:val="596E80"/>
        </w:rPr>
        <w:t>​H.C. Wainwright &amp; Co. ​</w:t>
      </w:r>
      <w:r>
        <w:rPr>
          <w:sz w:val="20"/>
          <w:szCs w:val="20"/>
          <w:color w:val="auto"/>
        </w:rPr>
        <w:tab/>
      </w:r>
      <w:r>
        <w:rPr>
          <w:rFonts w:ascii="Times New Roman" w:cs="Times New Roman" w:eastAsia="Times New Roman" w:hAnsi="Times New Roman"/>
          <w:sz w:val="29"/>
          <w:szCs w:val="29"/>
          <w:b w:val="1"/>
          <w:bCs w:val="1"/>
          <w:color w:val="596E80"/>
        </w:rPr>
        <w:t>​</w:t>
      </w:r>
      <w:r>
        <w:rPr>
          <w:sz w:val="20"/>
          <w:szCs w:val="20"/>
          <w:color w:val="auto"/>
        </w:rPr>
        <w:tab/>
      </w:r>
      <w:r>
        <w:rPr>
          <w:rFonts w:ascii="Times New Roman" w:cs="Times New Roman" w:eastAsia="Times New Roman" w:hAnsi="Times New Roman"/>
          <w:sz w:val="29"/>
          <w:szCs w:val="29"/>
          <w:b w:val="1"/>
          <w:bCs w:val="1"/>
          <w:color w:val="596E80"/>
        </w:rPr>
        <w:t>Needham &amp; Company ​</w:t>
      </w:r>
    </w:p>
    <w:p>
      <w:pPr>
        <w:sectPr>
          <w:pgSz w:w="11900" w:h="16838" w:orient="portrait"/>
          <w:cols w:equalWidth="0" w:num="1">
            <w:col w:w="9879"/>
          </w:cols>
          <w:pgMar w:left="580" w:top="205" w:right="1440" w:bottom="1440" w:gutter="0" w:footer="0" w:header="0"/>
        </w:sectPr>
      </w:pPr>
    </w:p>
    <w:p>
      <w:pPr>
        <w:spacing w:after="0" w:line="10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596E80"/>
        </w:rPr>
        <w:t>Prospectus supplement dated March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262890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b w:val="1"/>
          <w:bCs w:val="1"/>
          <w:color w:val="596E80"/>
        </w:rPr>
        <w:t>TABLE OF CONTENTS</w:t>
      </w:r>
    </w:p>
    <w:p>
      <w:pPr>
        <w:spacing w:after="0" w:line="117"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b w:val="1"/>
          <w:bCs w:val="1"/>
          <w:color w:val="596E80"/>
        </w:rPr>
        <w:t>PROSPECTUS SUPPLEMENT</w:t>
      </w:r>
    </w:p>
    <w:p>
      <w:pPr>
        <w:spacing w:after="0" w:line="14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596E80"/>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-110490</wp:posOffset>
            </wp:positionV>
            <wp:extent cx="452628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26280" cy="12001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596E80"/>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-10795</wp:posOffset>
            </wp:positionV>
            <wp:extent cx="2089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89150" cy="8255"/>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14605</wp:posOffset>
            </wp:positionV>
            <wp:extent cx="452628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26280" cy="162560"/>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596E80"/>
        </w:rPr>
        <w:t>THE​ OFFERING</w:t>
      </w:r>
    </w:p>
    <w:p>
      <w:pPr>
        <w:spacing w:after="0" w:line="5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596E80"/>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-7620</wp:posOffset>
            </wp:positionV>
            <wp:extent cx="45262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26280" cy="196850"/>
                    </a:xfrm>
                    <a:prstGeom prst="rect">
                      <a:avLst/>
                    </a:prstGeom>
                    <a:noFill/>
                  </pic:spPr>
                </pic:pic>
              </a:graphicData>
            </a:graphic>
          </wp:anchor>
        </w:drawing>
      </w:r>
    </w:p>
    <w:p>
      <w:pPr>
        <w:spacing w:after="0" w:line="43" w:lineRule="exact"/>
        <w:rPr>
          <w:sz w:val="20"/>
          <w:szCs w:val="20"/>
          <w:color w:val="auto"/>
        </w:rPr>
      </w:pPr>
    </w:p>
    <w:p>
      <w:pPr>
        <w:ind w:left="1800" w:right="340"/>
        <w:spacing w:after="0" w:line="313" w:lineRule="auto"/>
        <w:rPr>
          <w:sz w:val="20"/>
          <w:szCs w:val="20"/>
          <w:color w:val="auto"/>
        </w:rPr>
      </w:pPr>
      <w:r>
        <w:rPr>
          <w:rFonts w:ascii="Times New Roman" w:cs="Times New Roman" w:eastAsia="Times New Roman" w:hAnsi="Times New Roman"/>
          <w:sz w:val="18"/>
          <w:szCs w:val="18"/>
          <w:color w:val="596E80"/>
        </w:rPr>
        <w:t>SPECIAL​ NOTE REGARDING FORWARD-LOOKING STATEMENTS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-47625</wp:posOffset>
            </wp:positionV>
            <wp:extent cx="45262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26280" cy="19685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596E80"/>
        </w:rPr>
        <w:t>DIVIDEND​ POLICY</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u w:val="single" w:color="auto"/>
          <w:color w:val="596E80"/>
        </w:rPr>
        <w:t>DILUTION</w:t>
      </w:r>
      <w:r>
        <w:rPr>
          <w:rFonts w:ascii="Times New Roman" w:cs="Times New Roman" w:eastAsia="Times New Roman" w:hAnsi="Times New Roman"/>
          <w:sz w:val="18"/>
          <w:szCs w:val="18"/>
          <w:color w:val="596E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17145</wp:posOffset>
            </wp:positionV>
            <wp:extent cx="45262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26280" cy="1714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596E80"/>
        </w:rPr>
        <w:t>DESCRIPTION​ OF PRE-FUNDED WARRANTS</w:t>
      </w:r>
    </w:p>
    <w:p>
      <w:pPr>
        <w:spacing w:after="0" w:line="63" w:lineRule="exact"/>
        <w:rPr>
          <w:sz w:val="20"/>
          <w:szCs w:val="20"/>
          <w:color w:val="auto"/>
        </w:rPr>
      </w:pPr>
    </w:p>
    <w:p>
      <w:pPr>
        <w:ind w:left="1800" w:right="940"/>
        <w:spacing w:after="0" w:line="313" w:lineRule="auto"/>
        <w:rPr>
          <w:sz w:val="20"/>
          <w:szCs w:val="20"/>
          <w:color w:val="auto"/>
        </w:rPr>
      </w:pPr>
      <w:r>
        <w:rPr>
          <w:rFonts w:ascii="Times New Roman" w:cs="Times New Roman" w:eastAsia="Times New Roman" w:hAnsi="Times New Roman"/>
          <w:sz w:val="18"/>
          <w:szCs w:val="18"/>
          <w:color w:val="596E80"/>
        </w:rPr>
        <w:t xml:space="preserve">MATERIAL​ U.S. FEDERAL INCOME TAX CONSEQUENCES </w:t>
      </w:r>
      <w:r>
        <w:rPr>
          <w:rFonts w:ascii="Times New Roman" w:cs="Times New Roman" w:eastAsia="Times New Roman" w:hAnsi="Times New Roman"/>
          <w:sz w:val="18"/>
          <w:szCs w:val="18"/>
          <w:u w:val="single" w:color="auto"/>
          <w:color w:val="596E80"/>
        </w:rPr>
        <w:t>UNDERWRITING</w:t>
      </w:r>
      <w:r>
        <w:rPr>
          <w:rFonts w:ascii="Times New Roman" w:cs="Times New Roman" w:eastAsia="Times New Roman" w:hAnsi="Times New Roman"/>
          <w:sz w:val="18"/>
          <w:szCs w:val="18"/>
          <w:color w:val="596E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-219075</wp:posOffset>
            </wp:positionV>
            <wp:extent cx="45262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26280" cy="19685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596E80"/>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-7620</wp:posOffset>
            </wp:positionV>
            <wp:extent cx="45262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26280" cy="1968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u w:val="single" w:color="auto"/>
          <w:color w:val="596E80"/>
        </w:rPr>
        <w:t>EXPERTS</w:t>
      </w:r>
      <w:r>
        <w:rPr>
          <w:rFonts w:ascii="Times New Roman" w:cs="Times New Roman" w:eastAsia="Times New Roman" w:hAnsi="Times New Roman"/>
          <w:sz w:val="18"/>
          <w:szCs w:val="18"/>
          <w:color w:val="596E80"/>
        </w:rPr>
        <w:t>​</w:t>
      </w:r>
    </w:p>
    <w:p>
      <w:pPr>
        <w:spacing w:after="0" w:line="5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u w:val="single" w:color="auto"/>
          <w:color w:val="596E80"/>
        </w:rPr>
        <w:t>WHERE YOU CAN FIND MORE INFORMATION; INCORPORATION BY</w:t>
      </w:r>
    </w:p>
    <w:p>
      <w:pPr>
        <w:spacing w:after="0" w:line="34" w:lineRule="exact"/>
        <w:rPr>
          <w:sz w:val="20"/>
          <w:szCs w:val="20"/>
          <w:color w:val="auto"/>
        </w:rPr>
      </w:pPr>
    </w:p>
    <w:p>
      <w:pPr>
        <w:ind w:left="1980" w:hanging="180"/>
        <w:spacing w:after="0"/>
        <w:tabs>
          <w:tab w:leader="none" w:pos="1980" w:val="left"/>
        </w:tabs>
        <w:numPr>
          <w:ilvl w:val="0"/>
          <w:numId w:val="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u w:val="single" w:color="auto"/>
          <w:color w:val="596E80"/>
        </w:rPr>
        <w:t>REFERENCE</w:t>
      </w:r>
    </w:p>
    <w:p>
      <w:pPr>
        <w:spacing w:after="0" w:line="12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596E80"/>
        </w:rPr>
        <w:t>ACCOMPANYING PROSPECTUS</w:t>
      </w:r>
    </w:p>
    <w:p>
      <w:pPr>
        <w:spacing w:after="0" w:line="200" w:lineRule="exact"/>
        <w:rPr>
          <w:sz w:val="20"/>
          <w:szCs w:val="20"/>
          <w:color w:val="auto"/>
        </w:rPr>
      </w:pPr>
    </w:p>
    <w:p>
      <w:pPr>
        <w:spacing w:after="0" w:line="21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596E80"/>
        </w:rPr>
        <w:t>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-110490</wp:posOffset>
            </wp:positionV>
            <wp:extent cx="452628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26280" cy="120015"/>
                    </a:xfrm>
                    <a:prstGeom prst="rect">
                      <a:avLst/>
                    </a:prstGeom>
                    <a:noFill/>
                  </pic:spPr>
                </pic:pic>
              </a:graphicData>
            </a:graphic>
          </wp:anchor>
        </w:drawing>
      </w:r>
    </w:p>
    <w:p>
      <w:pPr>
        <w:spacing w:after="0" w:line="21" w:lineRule="exact"/>
        <w:rPr>
          <w:sz w:val="20"/>
          <w:szCs w:val="20"/>
          <w:color w:val="auto"/>
        </w:rPr>
      </w:pPr>
    </w:p>
    <w:p>
      <w:pPr>
        <w:ind w:left="1800" w:right="20"/>
        <w:spacing w:after="0" w:line="298" w:lineRule="auto"/>
        <w:rPr>
          <w:sz w:val="20"/>
          <w:szCs w:val="20"/>
          <w:color w:val="auto"/>
        </w:rPr>
      </w:pPr>
      <w:r>
        <w:rPr>
          <w:rFonts w:ascii="Times New Roman" w:cs="Times New Roman" w:eastAsia="Times New Roman" w:hAnsi="Times New Roman"/>
          <w:sz w:val="17"/>
          <w:szCs w:val="17"/>
          <w:color w:val="596E80"/>
        </w:rPr>
        <w:t xml:space="preserve">SPECIAL​ NOTE REGARDING FORWARD-LOOKING STATEMENTS </w:t>
      </w:r>
      <w:r>
        <w:rPr>
          <w:rFonts w:ascii="Times New Roman" w:cs="Times New Roman" w:eastAsia="Times New Roman" w:hAnsi="Times New Roman"/>
          <w:sz w:val="17"/>
          <w:szCs w:val="17"/>
          <w:u w:val="single" w:color="auto"/>
          <w:color w:val="596E80"/>
        </w:rPr>
        <w:t>WHERE YOU CAN FIND MORE INFORMATION; INCORPORATION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-187325</wp:posOffset>
            </wp:positionV>
            <wp:extent cx="4526280" cy="334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26280" cy="334010"/>
                    </a:xfrm>
                    <a:prstGeom prst="rect">
                      <a:avLst/>
                    </a:prstGeom>
                    <a:noFill/>
                  </pic:spPr>
                </pic:pic>
              </a:graphicData>
            </a:graphic>
          </wp:anchor>
        </w:drawing>
      </w:r>
    </w:p>
    <w:p>
      <w:pPr>
        <w:ind w:left="1980" w:hanging="180"/>
        <w:spacing w:after="0"/>
        <w:tabs>
          <w:tab w:leader="none" w:pos="1980" w:val="left"/>
        </w:tabs>
        <w:numPr>
          <w:ilvl w:val="0"/>
          <w:numId w:val="3"/>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u w:val="single" w:color="auto"/>
          <w:color w:val="596E80"/>
        </w:rPr>
        <w:t>REFERENCE</w:t>
      </w:r>
    </w:p>
    <w:p>
      <w:pPr>
        <w:spacing w:after="0" w:line="58" w:lineRule="exact"/>
        <w:rPr>
          <w:rFonts w:ascii="Times New Roman" w:cs="Times New Roman" w:eastAsia="Times New Roman" w:hAnsi="Times New Roman"/>
          <w:sz w:val="18"/>
          <w:szCs w:val="18"/>
          <w:color w:val="596E80"/>
        </w:rPr>
      </w:pPr>
    </w:p>
    <w:p>
      <w:pPr>
        <w:ind w:left="1800"/>
        <w:spacing w:after="0"/>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COMPANY</w:t>
      </w:r>
    </w:p>
    <w:p>
      <w:pPr>
        <w:spacing w:after="0" w:line="63" w:lineRule="exact"/>
        <w:rPr>
          <w:rFonts w:ascii="Times New Roman" w:cs="Times New Roman" w:eastAsia="Times New Roman" w:hAnsi="Times New Roman"/>
          <w:sz w:val="18"/>
          <w:szCs w:val="18"/>
          <w:color w:val="596E80"/>
        </w:rPr>
      </w:pPr>
    </w:p>
    <w:p>
      <w:pPr>
        <w:ind w:left="1800" w:right="4100"/>
        <w:spacing w:after="0" w:line="331" w:lineRule="auto"/>
        <w:rPr>
          <w:rFonts w:ascii="Times New Roman" w:cs="Times New Roman" w:eastAsia="Times New Roman" w:hAnsi="Times New Roman"/>
          <w:sz w:val="18"/>
          <w:szCs w:val="18"/>
          <w:color w:val="596E80"/>
        </w:rPr>
      </w:pPr>
      <w:r>
        <w:rPr>
          <w:rFonts w:ascii="Times New Roman" w:cs="Times New Roman" w:eastAsia="Times New Roman" w:hAnsi="Times New Roman"/>
          <w:sz w:val="17"/>
          <w:szCs w:val="17"/>
          <w:color w:val="596E80"/>
        </w:rPr>
        <w:t>RISK​ FACTORS USE​ OF PROCEEDS</w:t>
      </w:r>
    </w:p>
    <w:p>
      <w:pPr>
        <w:ind w:left="1800"/>
        <w:spacing w:after="0"/>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DESCRIPTION​ OF CAPITAL STOCK</w:t>
      </w:r>
    </w:p>
    <w:p>
      <w:pPr>
        <w:spacing w:after="0" w:line="63" w:lineRule="exact"/>
        <w:rPr>
          <w:rFonts w:ascii="Times New Roman" w:cs="Times New Roman" w:eastAsia="Times New Roman" w:hAnsi="Times New Roman"/>
          <w:sz w:val="18"/>
          <w:szCs w:val="18"/>
          <w:color w:val="596E80"/>
        </w:rPr>
      </w:pPr>
    </w:p>
    <w:p>
      <w:pPr>
        <w:ind w:left="1800"/>
        <w:spacing w:after="0"/>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DESCRIPTION​ OF DEBT SECURITIES</w:t>
      </w:r>
    </w:p>
    <w:p>
      <w:pPr>
        <w:spacing w:after="0" w:line="63" w:lineRule="exact"/>
        <w:rPr>
          <w:rFonts w:ascii="Times New Roman" w:cs="Times New Roman" w:eastAsia="Times New Roman" w:hAnsi="Times New Roman"/>
          <w:sz w:val="18"/>
          <w:szCs w:val="18"/>
          <w:color w:val="596E80"/>
        </w:rPr>
      </w:pPr>
    </w:p>
    <w:p>
      <w:pPr>
        <w:ind w:left="1800"/>
        <w:spacing w:after="0"/>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DESCRIPTION​ OF WARRANTS</w:t>
      </w:r>
    </w:p>
    <w:p>
      <w:pPr>
        <w:spacing w:after="0" w:line="63" w:lineRule="exact"/>
        <w:rPr>
          <w:rFonts w:ascii="Times New Roman" w:cs="Times New Roman" w:eastAsia="Times New Roman" w:hAnsi="Times New Roman"/>
          <w:sz w:val="18"/>
          <w:szCs w:val="18"/>
          <w:color w:val="596E80"/>
        </w:rPr>
      </w:pPr>
    </w:p>
    <w:p>
      <w:pPr>
        <w:ind w:left="1800"/>
        <w:spacing w:after="0"/>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DESCRIPTION​ OF UNITS</w:t>
      </w:r>
    </w:p>
    <w:p>
      <w:pPr>
        <w:spacing w:after="0" w:line="63" w:lineRule="exact"/>
        <w:rPr>
          <w:rFonts w:ascii="Times New Roman" w:cs="Times New Roman" w:eastAsia="Times New Roman" w:hAnsi="Times New Roman"/>
          <w:sz w:val="18"/>
          <w:szCs w:val="18"/>
          <w:color w:val="596E80"/>
        </w:rPr>
      </w:pPr>
    </w:p>
    <w:p>
      <w:pPr>
        <w:ind w:left="1800"/>
        <w:spacing w:after="0"/>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GLOBAL​ SECURITIES</w:t>
      </w:r>
    </w:p>
    <w:p>
      <w:pPr>
        <w:spacing w:after="0" w:line="63" w:lineRule="exact"/>
        <w:rPr>
          <w:rFonts w:ascii="Times New Roman" w:cs="Times New Roman" w:eastAsia="Times New Roman" w:hAnsi="Times New Roman"/>
          <w:sz w:val="18"/>
          <w:szCs w:val="18"/>
          <w:color w:val="596E80"/>
        </w:rPr>
      </w:pPr>
    </w:p>
    <w:p>
      <w:pPr>
        <w:ind w:left="1800"/>
        <w:spacing w:after="0"/>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PLAN​ OF DISTRIBUTION</w:t>
      </w:r>
    </w:p>
    <w:p>
      <w:pPr>
        <w:spacing w:after="0" w:line="63" w:lineRule="exact"/>
        <w:rPr>
          <w:rFonts w:ascii="Times New Roman" w:cs="Times New Roman" w:eastAsia="Times New Roman" w:hAnsi="Times New Roman"/>
          <w:sz w:val="18"/>
          <w:szCs w:val="18"/>
          <w:color w:val="596E80"/>
        </w:rPr>
      </w:pPr>
    </w:p>
    <w:p>
      <w:pPr>
        <w:ind w:left="1800" w:right="4220"/>
        <w:spacing w:after="0" w:line="362" w:lineRule="auto"/>
        <w:rPr>
          <w:rFonts w:ascii="Times New Roman" w:cs="Times New Roman" w:eastAsia="Times New Roman" w:hAnsi="Times New Roman"/>
          <w:sz w:val="18"/>
          <w:szCs w:val="18"/>
          <w:color w:val="596E80"/>
        </w:rPr>
      </w:pPr>
      <w:r>
        <w:rPr>
          <w:rFonts w:ascii="Times New Roman" w:cs="Times New Roman" w:eastAsia="Times New Roman" w:hAnsi="Times New Roman"/>
          <w:sz w:val="17"/>
          <w:szCs w:val="17"/>
          <w:color w:val="596E80"/>
        </w:rPr>
        <w:t xml:space="preserve">LEGAL​ MATTERS </w:t>
      </w:r>
      <w:r>
        <w:rPr>
          <w:rFonts w:ascii="Times New Roman" w:cs="Times New Roman" w:eastAsia="Times New Roman" w:hAnsi="Times New Roman"/>
          <w:sz w:val="17"/>
          <w:szCs w:val="17"/>
          <w:u w:val="single" w:color="auto"/>
          <w:color w:val="596E80"/>
        </w:rPr>
        <w:t>EXPERTS</w:t>
      </w:r>
      <w:r>
        <w:rPr>
          <w:rFonts w:ascii="Times New Roman" w:cs="Times New Roman" w:eastAsia="Times New Roman" w:hAnsi="Times New Roman"/>
          <w:sz w:val="17"/>
          <w:szCs w:val="17"/>
          <w:color w:val="596E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-1793875</wp:posOffset>
            </wp:positionV>
            <wp:extent cx="45262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26280" cy="196850"/>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-1450975</wp:posOffset>
            </wp:positionV>
            <wp:extent cx="45262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26280" cy="196850"/>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-1108075</wp:posOffset>
            </wp:positionV>
            <wp:extent cx="452628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26280" cy="196850"/>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-765175</wp:posOffset>
            </wp:positionV>
            <wp:extent cx="452628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26280" cy="196850"/>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-422275</wp:posOffset>
            </wp:positionV>
            <wp:extent cx="452628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2628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596E80"/>
              </w:rPr>
              <w:t xml:space="preserve">​ </w:t>
            </w:r>
            <w:r>
              <w:rPr>
                <w:rFonts w:ascii="Times New Roman" w:cs="Times New Roman" w:eastAsia="Times New Roman" w:hAnsi="Times New Roman"/>
                <w:sz w:val="18"/>
                <w:szCs w:val="18"/>
                <w:color w:val="596E80"/>
              </w:rPr>
              <w:t>S-ii</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596E80"/>
              </w:rPr>
              <w:t>​</w:t>
            </w:r>
          </w:p>
        </w:tc>
        <w:tc>
          <w:tcPr>
            <w:tcW w:w="20" w:type="dxa"/>
            <w:vAlign w:val="bottom"/>
            <w:tcBorders>
              <w:top w:val="single" w:sz="8" w:color="596E80"/>
              <w:bottom w:val="single" w:sz="8" w:color="596E80"/>
            </w:tcBorders>
          </w:tcPr>
          <w:p>
            <w:pPr>
              <w:spacing w:after="0"/>
              <w:rPr>
                <w:sz w:val="19"/>
                <w:szCs w:val="19"/>
                <w:color w:val="auto"/>
              </w:rPr>
            </w:pPr>
          </w:p>
        </w:tc>
        <w:tc>
          <w:tcPr>
            <w:tcW w:w="260" w:type="dxa"/>
            <w:vAlign w:val="bottom"/>
            <w:tcBorders>
              <w:top w:val="single" w:sz="8" w:color="596E80"/>
              <w:bottom w:val="single" w:sz="8" w:color="596E80"/>
            </w:tcBorders>
            <w:gridSpan w:val="3"/>
          </w:tcPr>
          <w:p>
            <w:pPr>
              <w:spacing w:after="0"/>
              <w:rPr>
                <w:sz w:val="20"/>
                <w:szCs w:val="20"/>
                <w:color w:val="auto"/>
              </w:rPr>
            </w:pPr>
            <w:r>
              <w:rPr>
                <w:rFonts w:ascii="Times New Roman" w:cs="Times New Roman" w:eastAsia="Times New Roman" w:hAnsi="Times New Roman"/>
                <w:sz w:val="18"/>
                <w:szCs w:val="18"/>
                <w:color w:val="596E80"/>
                <w:w w:val="87"/>
              </w:rPr>
              <w:t>S-1</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120" w:type="dxa"/>
            <w:vAlign w:val="bottom"/>
            <w:gridSpan w:val="3"/>
          </w:tcPr>
          <w:p>
            <w:pPr>
              <w:spacing w:after="0"/>
              <w:rPr>
                <w:sz w:val="20"/>
                <w:szCs w:val="20"/>
                <w:color w:val="auto"/>
              </w:rPr>
            </w:pPr>
            <w:r>
              <w:rPr>
                <w:rFonts w:ascii="Times New Roman" w:cs="Times New Roman" w:eastAsia="Times New Roman" w:hAnsi="Times New Roman"/>
                <w:sz w:val="18"/>
                <w:szCs w:val="18"/>
                <w:color w:val="596E80"/>
              </w:rPr>
              <w:t>​</w:t>
            </w:r>
          </w:p>
        </w:tc>
        <w:tc>
          <w:tcPr>
            <w:tcW w:w="260" w:type="dxa"/>
            <w:vAlign w:val="bottom"/>
            <w:tcBorders>
              <w:bottom w:val="single" w:sz="8" w:color="596E80"/>
            </w:tcBorders>
            <w:gridSpan w:val="3"/>
          </w:tcPr>
          <w:p>
            <w:pPr>
              <w:spacing w:after="0"/>
              <w:rPr>
                <w:sz w:val="20"/>
                <w:szCs w:val="20"/>
                <w:color w:val="auto"/>
              </w:rPr>
            </w:pPr>
            <w:r>
              <w:rPr>
                <w:rFonts w:ascii="Times New Roman" w:cs="Times New Roman" w:eastAsia="Times New Roman" w:hAnsi="Times New Roman"/>
                <w:sz w:val="18"/>
                <w:szCs w:val="18"/>
                <w:color w:val="596E80"/>
                <w:w w:val="87"/>
              </w:rPr>
              <w:t>S-3</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120" w:type="dxa"/>
            <w:vAlign w:val="bottom"/>
            <w:gridSpan w:val="3"/>
          </w:tcPr>
          <w:p>
            <w:pPr>
              <w:spacing w:after="0"/>
              <w:rPr>
                <w:sz w:val="20"/>
                <w:szCs w:val="20"/>
                <w:color w:val="auto"/>
              </w:rPr>
            </w:pPr>
            <w:r>
              <w:rPr>
                <w:rFonts w:ascii="Times New Roman" w:cs="Times New Roman" w:eastAsia="Times New Roman" w:hAnsi="Times New Roman"/>
                <w:sz w:val="18"/>
                <w:szCs w:val="18"/>
                <w:color w:val="596E80"/>
              </w:rPr>
              <w:t>​</w:t>
            </w:r>
          </w:p>
        </w:tc>
        <w:tc>
          <w:tcPr>
            <w:tcW w:w="260" w:type="dxa"/>
            <w:vAlign w:val="bottom"/>
            <w:tcBorders>
              <w:bottom w:val="single" w:sz="8" w:color="596E80"/>
            </w:tcBorders>
            <w:gridSpan w:val="3"/>
          </w:tcPr>
          <w:p>
            <w:pPr>
              <w:spacing w:after="0"/>
              <w:rPr>
                <w:sz w:val="20"/>
                <w:szCs w:val="20"/>
                <w:color w:val="auto"/>
              </w:rPr>
            </w:pPr>
            <w:r>
              <w:rPr>
                <w:rFonts w:ascii="Times New Roman" w:cs="Times New Roman" w:eastAsia="Times New Roman" w:hAnsi="Times New Roman"/>
                <w:sz w:val="18"/>
                <w:szCs w:val="18"/>
                <w:color w:val="596E80"/>
                <w:w w:val="87"/>
              </w:rPr>
              <w:t>S-5</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120" w:type="dxa"/>
            <w:vAlign w:val="bottom"/>
            <w:gridSpan w:val="3"/>
          </w:tcPr>
          <w:p>
            <w:pPr>
              <w:spacing w:after="0"/>
              <w:rPr>
                <w:sz w:val="20"/>
                <w:szCs w:val="20"/>
                <w:color w:val="auto"/>
              </w:rPr>
            </w:pPr>
            <w:r>
              <w:rPr>
                <w:rFonts w:ascii="Times New Roman" w:cs="Times New Roman" w:eastAsia="Times New Roman" w:hAnsi="Times New Roman"/>
                <w:sz w:val="18"/>
                <w:szCs w:val="18"/>
                <w:color w:val="596E80"/>
              </w:rPr>
              <w:t>​</w:t>
            </w:r>
          </w:p>
        </w:tc>
        <w:tc>
          <w:tcPr>
            <w:tcW w:w="260" w:type="dxa"/>
            <w:vAlign w:val="bottom"/>
            <w:tcBorders>
              <w:bottom w:val="single" w:sz="8" w:color="596E80"/>
            </w:tcBorders>
            <w:gridSpan w:val="3"/>
          </w:tcPr>
          <w:p>
            <w:pPr>
              <w:spacing w:after="0"/>
              <w:rPr>
                <w:sz w:val="20"/>
                <w:szCs w:val="20"/>
                <w:color w:val="auto"/>
              </w:rPr>
            </w:pPr>
            <w:r>
              <w:rPr>
                <w:rFonts w:ascii="Times New Roman" w:cs="Times New Roman" w:eastAsia="Times New Roman" w:hAnsi="Times New Roman"/>
                <w:sz w:val="18"/>
                <w:szCs w:val="18"/>
                <w:color w:val="596E80"/>
                <w:w w:val="87"/>
              </w:rPr>
              <w:t>S-7</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120" w:type="dxa"/>
            <w:vAlign w:val="bottom"/>
            <w:gridSpan w:val="3"/>
          </w:tcPr>
          <w:p>
            <w:pPr>
              <w:spacing w:after="0"/>
              <w:rPr>
                <w:sz w:val="20"/>
                <w:szCs w:val="20"/>
                <w:color w:val="auto"/>
              </w:rPr>
            </w:pPr>
            <w:r>
              <w:rPr>
                <w:rFonts w:ascii="Times New Roman" w:cs="Times New Roman" w:eastAsia="Times New Roman" w:hAnsi="Times New Roman"/>
                <w:sz w:val="18"/>
                <w:szCs w:val="18"/>
                <w:color w:val="596E80"/>
              </w:rPr>
              <w:t>​</w:t>
            </w:r>
          </w:p>
        </w:tc>
        <w:tc>
          <w:tcPr>
            <w:tcW w:w="260" w:type="dxa"/>
            <w:vAlign w:val="bottom"/>
            <w:tcBorders>
              <w:bottom w:val="single" w:sz="8" w:color="596E80"/>
            </w:tcBorders>
            <w:gridSpan w:val="3"/>
          </w:tcPr>
          <w:p>
            <w:pPr>
              <w:spacing w:after="0"/>
              <w:rPr>
                <w:sz w:val="20"/>
                <w:szCs w:val="20"/>
                <w:color w:val="auto"/>
              </w:rPr>
            </w:pPr>
            <w:r>
              <w:rPr>
                <w:rFonts w:ascii="Times New Roman" w:cs="Times New Roman" w:eastAsia="Times New Roman" w:hAnsi="Times New Roman"/>
                <w:sz w:val="18"/>
                <w:szCs w:val="18"/>
                <w:color w:val="596E80"/>
                <w:w w:val="87"/>
              </w:rPr>
              <w:t>S-9</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380" w:type="dxa"/>
            <w:vAlign w:val="bottom"/>
            <w:tcBorders>
              <w:bottom w:val="single" w:sz="8" w:color="596E80"/>
            </w:tcBorders>
            <w:gridSpan w:val="6"/>
          </w:tcPr>
          <w:p>
            <w:pPr>
              <w:spacing w:after="0"/>
              <w:rPr>
                <w:sz w:val="20"/>
                <w:szCs w:val="20"/>
                <w:color w:val="auto"/>
              </w:rPr>
            </w:pPr>
            <w:r>
              <w:rPr>
                <w:rFonts w:ascii="Times New Roman" w:cs="Times New Roman" w:eastAsia="Times New Roman" w:hAnsi="Times New Roman"/>
                <w:sz w:val="18"/>
                <w:szCs w:val="18"/>
                <w:color w:val="596E80"/>
                <w:w w:val="99"/>
              </w:rPr>
              <w:t>​S-10</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596E80"/>
              </w:rPr>
              <w:t>​ ​</w:t>
            </w:r>
          </w:p>
        </w:tc>
        <w:tc>
          <w:tcPr>
            <w:tcW w:w="380" w:type="dxa"/>
            <w:vAlign w:val="bottom"/>
            <w:gridSpan w:val="6"/>
          </w:tcPr>
          <w:p>
            <w:pPr>
              <w:spacing w:after="0"/>
              <w:rPr>
                <w:sz w:val="20"/>
                <w:szCs w:val="20"/>
                <w:color w:val="auto"/>
              </w:rPr>
            </w:pPr>
            <w:r>
              <w:rPr>
                <w:rFonts w:ascii="Times New Roman" w:cs="Times New Roman" w:eastAsia="Times New Roman" w:hAnsi="Times New Roman"/>
                <w:sz w:val="18"/>
                <w:szCs w:val="18"/>
                <w:color w:val="596E80"/>
                <w:w w:val="99"/>
              </w:rPr>
              <w:t>​S-11</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0"/>
        </w:trPr>
        <w:tc>
          <w:tcPr>
            <w:tcW w:w="2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596E80"/>
          </w:tcPr>
          <w:p>
            <w:pPr>
              <w:spacing w:after="0" w:line="20" w:lineRule="exact"/>
              <w:rPr>
                <w:sz w:val="1"/>
                <w:szCs w:val="1"/>
                <w:color w:val="auto"/>
              </w:rPr>
            </w:pPr>
          </w:p>
        </w:tc>
        <w:tc>
          <w:tcPr>
            <w:tcW w:w="100" w:type="dxa"/>
            <w:vAlign w:val="bottom"/>
            <w:gridSpan w:val="2"/>
            <w:shd w:val="clear" w:color="auto" w:fill="596E80"/>
          </w:tcPr>
          <w:p>
            <w:pPr>
              <w:spacing w:after="0" w:line="20" w:lineRule="exact"/>
              <w:rPr>
                <w:sz w:val="1"/>
                <w:szCs w:val="1"/>
                <w:color w:val="auto"/>
              </w:rPr>
            </w:pPr>
          </w:p>
        </w:tc>
        <w:tc>
          <w:tcPr>
            <w:tcW w:w="100" w:type="dxa"/>
            <w:vAlign w:val="bottom"/>
            <w:shd w:val="clear" w:color="auto" w:fill="596E80"/>
          </w:tcPr>
          <w:p>
            <w:pPr>
              <w:spacing w:after="0" w:line="20" w:lineRule="exact"/>
              <w:rPr>
                <w:sz w:val="1"/>
                <w:szCs w:val="1"/>
                <w:color w:val="auto"/>
              </w:rPr>
            </w:pPr>
          </w:p>
        </w:tc>
        <w:tc>
          <w:tcPr>
            <w:tcW w:w="80" w:type="dxa"/>
            <w:vAlign w:val="bottom"/>
            <w:tcBorders>
              <w:right w:val="single" w:sz="8" w:color="596E80"/>
            </w:tcBorders>
            <w:shd w:val="clear" w:color="auto" w:fill="596E80"/>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380" w:type="dxa"/>
            <w:vAlign w:val="bottom"/>
            <w:tcBorders>
              <w:bottom w:val="single" w:sz="8" w:color="596E80"/>
            </w:tcBorders>
            <w:gridSpan w:val="6"/>
          </w:tcPr>
          <w:p>
            <w:pPr>
              <w:spacing w:after="0"/>
              <w:rPr>
                <w:sz w:val="20"/>
                <w:szCs w:val="20"/>
                <w:color w:val="auto"/>
              </w:rPr>
            </w:pPr>
            <w:r>
              <w:rPr>
                <w:rFonts w:ascii="Times New Roman" w:cs="Times New Roman" w:eastAsia="Times New Roman" w:hAnsi="Times New Roman"/>
                <w:sz w:val="18"/>
                <w:szCs w:val="18"/>
                <w:color w:val="596E80"/>
                <w:w w:val="99"/>
              </w:rPr>
              <w:t>​S-13</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380" w:type="dxa"/>
            <w:vAlign w:val="bottom"/>
            <w:tcBorders>
              <w:bottom w:val="single" w:sz="8" w:color="596E80"/>
            </w:tcBorders>
            <w:gridSpan w:val="6"/>
          </w:tcPr>
          <w:p>
            <w:pPr>
              <w:spacing w:after="0"/>
              <w:rPr>
                <w:sz w:val="20"/>
                <w:szCs w:val="20"/>
                <w:color w:val="auto"/>
              </w:rPr>
            </w:pPr>
            <w:r>
              <w:rPr>
                <w:rFonts w:ascii="Times New Roman" w:cs="Times New Roman" w:eastAsia="Times New Roman" w:hAnsi="Times New Roman"/>
                <w:sz w:val="18"/>
                <w:szCs w:val="18"/>
                <w:color w:val="596E80"/>
                <w:w w:val="99"/>
              </w:rPr>
              <w:t>​S-15</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380" w:type="dxa"/>
            <w:vAlign w:val="bottom"/>
            <w:tcBorders>
              <w:bottom w:val="single" w:sz="8" w:color="596E80"/>
            </w:tcBorders>
            <w:gridSpan w:val="6"/>
          </w:tcPr>
          <w:p>
            <w:pPr>
              <w:spacing w:after="0"/>
              <w:rPr>
                <w:sz w:val="20"/>
                <w:szCs w:val="20"/>
                <w:color w:val="auto"/>
              </w:rPr>
            </w:pPr>
            <w:r>
              <w:rPr>
                <w:rFonts w:ascii="Times New Roman" w:cs="Times New Roman" w:eastAsia="Times New Roman" w:hAnsi="Times New Roman"/>
                <w:sz w:val="18"/>
                <w:szCs w:val="18"/>
                <w:color w:val="596E80"/>
                <w:w w:val="99"/>
              </w:rPr>
              <w:t>​S-21</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380" w:type="dxa"/>
            <w:vAlign w:val="bottom"/>
            <w:tcBorders>
              <w:bottom w:val="single" w:sz="8" w:color="596E80"/>
            </w:tcBorders>
            <w:gridSpan w:val="6"/>
          </w:tcPr>
          <w:p>
            <w:pPr>
              <w:spacing w:after="0"/>
              <w:rPr>
                <w:sz w:val="20"/>
                <w:szCs w:val="20"/>
                <w:color w:val="auto"/>
              </w:rPr>
            </w:pPr>
            <w:r>
              <w:rPr>
                <w:rFonts w:ascii="Times New Roman" w:cs="Times New Roman" w:eastAsia="Times New Roman" w:hAnsi="Times New Roman"/>
                <w:sz w:val="18"/>
                <w:szCs w:val="18"/>
                <w:color w:val="596E80"/>
                <w:w w:val="99"/>
              </w:rPr>
              <w:t>​S-29</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380" w:type="dxa"/>
            <w:vAlign w:val="bottom"/>
            <w:tcBorders>
              <w:bottom w:val="single" w:sz="8" w:color="596E80"/>
            </w:tcBorders>
            <w:gridSpan w:val="6"/>
          </w:tcPr>
          <w:p>
            <w:pPr>
              <w:spacing w:after="0"/>
              <w:rPr>
                <w:sz w:val="20"/>
                <w:szCs w:val="20"/>
                <w:color w:val="auto"/>
              </w:rPr>
            </w:pPr>
            <w:r>
              <w:rPr>
                <w:rFonts w:ascii="Times New Roman" w:cs="Times New Roman" w:eastAsia="Times New Roman" w:hAnsi="Times New Roman"/>
                <w:sz w:val="18"/>
                <w:szCs w:val="18"/>
                <w:color w:val="596E80"/>
                <w:w w:val="99"/>
              </w:rPr>
              <w:t>​S-29</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45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596E80"/>
              </w:rPr>
              <w:t>​ ​</w:t>
            </w:r>
          </w:p>
        </w:tc>
        <w:tc>
          <w:tcPr>
            <w:tcW w:w="380" w:type="dxa"/>
            <w:vAlign w:val="bottom"/>
            <w:gridSpan w:val="6"/>
          </w:tcPr>
          <w:p>
            <w:pPr>
              <w:spacing w:after="0"/>
              <w:rPr>
                <w:sz w:val="20"/>
                <w:szCs w:val="20"/>
                <w:color w:val="auto"/>
              </w:rPr>
            </w:pPr>
            <w:r>
              <w:rPr>
                <w:rFonts w:ascii="Times New Roman" w:cs="Times New Roman" w:eastAsia="Times New Roman" w:hAnsi="Times New Roman"/>
                <w:sz w:val="18"/>
                <w:szCs w:val="18"/>
                <w:color w:val="596E80"/>
                <w:w w:val="99"/>
              </w:rPr>
              <w:t>​S-30</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952"/>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4"/>
                <w:szCs w:val="24"/>
                <w:color w:val="auto"/>
              </w:rPr>
            </w:pPr>
          </w:p>
        </w:tc>
        <w:tc>
          <w:tcPr>
            <w:tcW w:w="80" w:type="dxa"/>
            <w:vAlign w:val="bottom"/>
            <w:tcBorders>
              <w:top w:val="single" w:sz="8" w:color="596E80"/>
            </w:tcBorders>
          </w:tcPr>
          <w:p>
            <w:pPr>
              <w:spacing w:after="0"/>
              <w:rPr>
                <w:sz w:val="24"/>
                <w:szCs w:val="24"/>
                <w:color w:val="auto"/>
              </w:rPr>
            </w:pPr>
          </w:p>
        </w:tc>
        <w:tc>
          <w:tcPr>
            <w:tcW w:w="280" w:type="dxa"/>
            <w:vAlign w:val="bottom"/>
            <w:tcBorders>
              <w:top w:val="single" w:sz="8" w:color="596E80"/>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596E80"/>
              </w:rPr>
              <w:t xml:space="preserve">​ </w:t>
            </w:r>
            <w:r>
              <w:rPr>
                <w:rFonts w:ascii="Times New Roman" w:cs="Times New Roman" w:eastAsia="Times New Roman" w:hAnsi="Times New Roman"/>
                <w:sz w:val="18"/>
                <w:szCs w:val="18"/>
                <w:color w:val="596E80"/>
              </w:rPr>
              <w:t>1</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23"/>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596E80"/>
              </w:rPr>
              <w:t>​</w:t>
            </w:r>
          </w:p>
        </w:tc>
        <w:tc>
          <w:tcPr>
            <w:tcW w:w="100" w:type="dxa"/>
            <w:vAlign w:val="bottom"/>
            <w:tcBorders>
              <w:top w:val="single" w:sz="8" w:color="596E80"/>
              <w:bottom w:val="single" w:sz="8" w:color="596E80"/>
            </w:tcBorders>
          </w:tcPr>
          <w:p>
            <w:pPr>
              <w:jc w:val="right"/>
              <w:spacing w:after="0"/>
              <w:rPr>
                <w:sz w:val="20"/>
                <w:szCs w:val="20"/>
                <w:color w:val="auto"/>
              </w:rPr>
            </w:pPr>
            <w:r>
              <w:rPr>
                <w:rFonts w:ascii="Times New Roman" w:cs="Times New Roman" w:eastAsia="Times New Roman" w:hAnsi="Times New Roman"/>
                <w:sz w:val="18"/>
                <w:szCs w:val="18"/>
                <w:color w:val="596E80"/>
                <w:w w:val="88"/>
              </w:rPr>
              <w:t>2</w:t>
            </w:r>
          </w:p>
        </w:tc>
        <w:tc>
          <w:tcPr>
            <w:tcW w:w="80" w:type="dxa"/>
            <w:vAlign w:val="bottom"/>
          </w:tcPr>
          <w:p>
            <w:pPr>
              <w:spacing w:after="0"/>
              <w:rPr>
                <w:sz w:val="19"/>
                <w:szCs w:val="19"/>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453"/>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596E80"/>
              </w:rPr>
              <w:t xml:space="preserve">​ </w:t>
            </w:r>
            <w:r>
              <w:rPr>
                <w:rFonts w:ascii="Times New Roman" w:cs="Times New Roman" w:eastAsia="Times New Roman" w:hAnsi="Times New Roman"/>
                <w:sz w:val="18"/>
                <w:szCs w:val="18"/>
                <w:color w:val="596E80"/>
              </w:rPr>
              <w:t>4</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63"/>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596E80"/>
              </w:rPr>
              <w:t>​</w:t>
            </w:r>
          </w:p>
        </w:tc>
        <w:tc>
          <w:tcPr>
            <w:tcW w:w="100" w:type="dxa"/>
            <w:vAlign w:val="bottom"/>
            <w:tcBorders>
              <w:top w:val="single" w:sz="8" w:color="596E80"/>
              <w:bottom w:val="single" w:sz="8" w:color="596E80"/>
            </w:tcBorders>
          </w:tcPr>
          <w:p>
            <w:pPr>
              <w:jc w:val="right"/>
              <w:spacing w:after="0"/>
              <w:rPr>
                <w:sz w:val="20"/>
                <w:szCs w:val="20"/>
                <w:color w:val="auto"/>
              </w:rPr>
            </w:pPr>
            <w:r>
              <w:rPr>
                <w:rFonts w:ascii="Times New Roman" w:cs="Times New Roman" w:eastAsia="Times New Roman" w:hAnsi="Times New Roman"/>
                <w:sz w:val="18"/>
                <w:szCs w:val="18"/>
                <w:color w:val="596E80"/>
                <w:w w:val="88"/>
              </w:rPr>
              <w:t>6</w:t>
            </w:r>
          </w:p>
        </w:tc>
        <w:tc>
          <w:tcPr>
            <w:tcW w:w="80" w:type="dxa"/>
            <w:vAlign w:val="bottom"/>
          </w:tcPr>
          <w:p>
            <w:pPr>
              <w:spacing w:after="0"/>
              <w:rPr>
                <w:sz w:val="22"/>
                <w:szCs w:val="22"/>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596E80"/>
              </w:rPr>
              <w:t>​</w:t>
            </w:r>
          </w:p>
        </w:tc>
        <w:tc>
          <w:tcPr>
            <w:tcW w:w="100" w:type="dxa"/>
            <w:vAlign w:val="bottom"/>
            <w:tcBorders>
              <w:bottom w:val="single" w:sz="8" w:color="596E80"/>
            </w:tcBorders>
          </w:tcPr>
          <w:p>
            <w:pPr>
              <w:jc w:val="right"/>
              <w:spacing w:after="0"/>
              <w:rPr>
                <w:sz w:val="20"/>
                <w:szCs w:val="20"/>
                <w:color w:val="auto"/>
              </w:rPr>
            </w:pPr>
            <w:r>
              <w:rPr>
                <w:rFonts w:ascii="Times New Roman" w:cs="Times New Roman" w:eastAsia="Times New Roman" w:hAnsi="Times New Roman"/>
                <w:sz w:val="18"/>
                <w:szCs w:val="18"/>
                <w:color w:val="596E80"/>
                <w:w w:val="88"/>
              </w:rPr>
              <w:t>7</w:t>
            </w:r>
          </w:p>
        </w:tc>
        <w:tc>
          <w:tcPr>
            <w:tcW w:w="80" w:type="dxa"/>
            <w:vAlign w:val="bottom"/>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596E80"/>
              </w:rPr>
              <w:t>​</w:t>
            </w:r>
          </w:p>
        </w:tc>
        <w:tc>
          <w:tcPr>
            <w:tcW w:w="100" w:type="dxa"/>
            <w:vAlign w:val="bottom"/>
            <w:tcBorders>
              <w:bottom w:val="single" w:sz="8" w:color="596E80"/>
            </w:tcBorders>
          </w:tcPr>
          <w:p>
            <w:pPr>
              <w:jc w:val="right"/>
              <w:spacing w:after="0"/>
              <w:rPr>
                <w:sz w:val="20"/>
                <w:szCs w:val="20"/>
                <w:color w:val="auto"/>
              </w:rPr>
            </w:pPr>
            <w:r>
              <w:rPr>
                <w:rFonts w:ascii="Times New Roman" w:cs="Times New Roman" w:eastAsia="Times New Roman" w:hAnsi="Times New Roman"/>
                <w:sz w:val="18"/>
                <w:szCs w:val="18"/>
                <w:color w:val="596E80"/>
                <w:w w:val="88"/>
              </w:rPr>
              <w:t>8</w:t>
            </w:r>
          </w:p>
        </w:tc>
        <w:tc>
          <w:tcPr>
            <w:tcW w:w="80" w:type="dxa"/>
            <w:vAlign w:val="bottom"/>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596E80"/>
              </w:rPr>
              <w:t>​</w:t>
            </w:r>
          </w:p>
        </w:tc>
        <w:tc>
          <w:tcPr>
            <w:tcW w:w="100" w:type="dxa"/>
            <w:vAlign w:val="bottom"/>
            <w:tcBorders>
              <w:bottom w:val="single" w:sz="8" w:color="596E80"/>
            </w:tcBorders>
          </w:tcPr>
          <w:p>
            <w:pPr>
              <w:jc w:val="right"/>
              <w:spacing w:after="0"/>
              <w:rPr>
                <w:sz w:val="20"/>
                <w:szCs w:val="20"/>
                <w:color w:val="auto"/>
              </w:rPr>
            </w:pPr>
            <w:r>
              <w:rPr>
                <w:rFonts w:ascii="Times New Roman" w:cs="Times New Roman" w:eastAsia="Times New Roman" w:hAnsi="Times New Roman"/>
                <w:sz w:val="18"/>
                <w:szCs w:val="18"/>
                <w:color w:val="596E80"/>
                <w:w w:val="88"/>
              </w:rPr>
              <w:t>9</w:t>
            </w:r>
          </w:p>
        </w:tc>
        <w:tc>
          <w:tcPr>
            <w:tcW w:w="80" w:type="dxa"/>
            <w:vAlign w:val="bottom"/>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596E8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596E80"/>
                <w:w w:val="99"/>
              </w:rPr>
              <w:t>​</w:t>
            </w:r>
            <w:r>
              <w:rPr>
                <w:rFonts w:ascii="Times New Roman" w:cs="Times New Roman" w:eastAsia="Times New Roman" w:hAnsi="Times New Roman"/>
                <w:sz w:val="18"/>
                <w:szCs w:val="18"/>
                <w:color w:val="596E80"/>
                <w:w w:val="99"/>
              </w:rPr>
              <w:t>13</w:t>
            </w:r>
          </w:p>
        </w:tc>
        <w:tc>
          <w:tcPr>
            <w:tcW w:w="80" w:type="dxa"/>
            <w:vAlign w:val="bottom"/>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596E8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596E80"/>
                <w:w w:val="99"/>
              </w:rPr>
              <w:t>​</w:t>
            </w:r>
            <w:r>
              <w:rPr>
                <w:rFonts w:ascii="Times New Roman" w:cs="Times New Roman" w:eastAsia="Times New Roman" w:hAnsi="Times New Roman"/>
                <w:sz w:val="18"/>
                <w:szCs w:val="18"/>
                <w:color w:val="596E80"/>
                <w:w w:val="99"/>
              </w:rPr>
              <w:t>20</w:t>
            </w:r>
          </w:p>
        </w:tc>
        <w:tc>
          <w:tcPr>
            <w:tcW w:w="80" w:type="dxa"/>
            <w:vAlign w:val="bottom"/>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596E8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596E80"/>
                <w:w w:val="99"/>
              </w:rPr>
              <w:t>​</w:t>
            </w:r>
            <w:r>
              <w:rPr>
                <w:rFonts w:ascii="Times New Roman" w:cs="Times New Roman" w:eastAsia="Times New Roman" w:hAnsi="Times New Roman"/>
                <w:sz w:val="18"/>
                <w:szCs w:val="18"/>
                <w:color w:val="596E80"/>
                <w:w w:val="99"/>
              </w:rPr>
              <w:t>22</w:t>
            </w:r>
          </w:p>
        </w:tc>
        <w:tc>
          <w:tcPr>
            <w:tcW w:w="80" w:type="dxa"/>
            <w:vAlign w:val="bottom"/>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596E8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596E80"/>
                <w:w w:val="99"/>
              </w:rPr>
              <w:t>​</w:t>
            </w:r>
            <w:r>
              <w:rPr>
                <w:rFonts w:ascii="Times New Roman" w:cs="Times New Roman" w:eastAsia="Times New Roman" w:hAnsi="Times New Roman"/>
                <w:sz w:val="18"/>
                <w:szCs w:val="18"/>
                <w:color w:val="596E80"/>
                <w:w w:val="99"/>
              </w:rPr>
              <w:t>23</w:t>
            </w:r>
          </w:p>
        </w:tc>
        <w:tc>
          <w:tcPr>
            <w:tcW w:w="80" w:type="dxa"/>
            <w:vAlign w:val="bottom"/>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596E8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596E80"/>
                <w:w w:val="99"/>
              </w:rPr>
              <w:t>​</w:t>
            </w:r>
            <w:r>
              <w:rPr>
                <w:rFonts w:ascii="Times New Roman" w:cs="Times New Roman" w:eastAsia="Times New Roman" w:hAnsi="Times New Roman"/>
                <w:sz w:val="18"/>
                <w:szCs w:val="18"/>
                <w:color w:val="596E80"/>
                <w:w w:val="99"/>
              </w:rPr>
              <w:t>27</w:t>
            </w:r>
          </w:p>
        </w:tc>
        <w:tc>
          <w:tcPr>
            <w:tcW w:w="80" w:type="dxa"/>
            <w:vAlign w:val="bottom"/>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596E8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596E80"/>
                <w:w w:val="99"/>
              </w:rPr>
              <w:t>​</w:t>
            </w:r>
            <w:r>
              <w:rPr>
                <w:rFonts w:ascii="Times New Roman" w:cs="Times New Roman" w:eastAsia="Times New Roman" w:hAnsi="Times New Roman"/>
                <w:sz w:val="18"/>
                <w:szCs w:val="18"/>
                <w:color w:val="596E80"/>
                <w:w w:val="99"/>
              </w:rPr>
              <w:t>29</w:t>
            </w:r>
          </w:p>
        </w:tc>
        <w:tc>
          <w:tcPr>
            <w:tcW w:w="80" w:type="dxa"/>
            <w:vAlign w:val="bottom"/>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596E80"/>
              </w:rPr>
              <w:t>​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596E8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596E80"/>
                <w:w w:val="99"/>
              </w:rPr>
              <w:t>​</w:t>
            </w:r>
            <w:r>
              <w:rPr>
                <w:rFonts w:ascii="Times New Roman" w:cs="Times New Roman" w:eastAsia="Times New Roman" w:hAnsi="Times New Roman"/>
                <w:sz w:val="18"/>
                <w:szCs w:val="18"/>
                <w:color w:val="596E80"/>
                <w:w w:val="99"/>
              </w:rPr>
              <w:t>29</w:t>
            </w:r>
          </w:p>
        </w:tc>
        <w:tc>
          <w:tcPr>
            <w:tcW w:w="80" w:type="dxa"/>
            <w:vAlign w:val="bottom"/>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596E80"/>
              </w:rPr>
              <w:t>​</w:t>
            </w:r>
          </w:p>
        </w:tc>
        <w:tc>
          <w:tcPr>
            <w:tcW w:w="0" w:type="dxa"/>
            <w:vAlign w:val="bottom"/>
          </w:tcPr>
          <w:p>
            <w:pPr>
              <w:spacing w:after="0"/>
              <w:rPr>
                <w:sz w:val="1"/>
                <w:szCs w:val="1"/>
                <w:color w:val="auto"/>
              </w:rPr>
            </w:pPr>
          </w:p>
        </w:tc>
      </w:tr>
    </w:tbl>
    <w:p>
      <w:pPr>
        <w:spacing w:after="0" w:line="113" w:lineRule="exact"/>
        <w:rPr>
          <w:sz w:val="20"/>
          <w:szCs w:val="20"/>
          <w:color w:val="auto"/>
        </w:rPr>
      </w:pPr>
    </w:p>
    <w:p>
      <w:pPr>
        <w:sectPr>
          <w:pgSz w:w="11900" w:h="16838" w:orient="portrait"/>
          <w:cols w:equalWidth="0" w:num="2">
            <w:col w:w="7480" w:space="720"/>
            <w:col w:w="1679"/>
          </w:cols>
          <w:pgMar w:left="580" w:top="97" w:right="1440" w:bottom="1440" w:gutter="0" w:footer="0" w:header="0"/>
          <w:type w:val="continuous"/>
        </w:sectPr>
      </w:pPr>
    </w:p>
    <w:p>
      <w:pPr>
        <w:ind w:left="1260" w:right="439"/>
        <w:spacing w:after="0" w:line="254" w:lineRule="auto"/>
        <w:rPr>
          <w:sz w:val="20"/>
          <w:szCs w:val="20"/>
          <w:color w:val="auto"/>
        </w:rPr>
      </w:pPr>
      <w:r>
        <w:rPr>
          <w:rFonts w:ascii="Times New Roman" w:cs="Times New Roman" w:eastAsia="Times New Roman" w:hAnsi="Times New Roman"/>
          <w:sz w:val="18"/>
          <w:szCs w:val="18"/>
          <w:b w:val="1"/>
          <w:bCs w:val="1"/>
          <w:color w:val="596E80"/>
        </w:rPr>
        <w:t>We are responsible for the information contained and incorporated by reference in this prospectus supplement, the accompanying base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spacing w:after="0" w:line="36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596E80"/>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596E80"/>
        </w:rPr>
        <w:t>ABOUT THIS PROSPECTUS SUPPLEMENT</w:t>
      </w:r>
    </w:p>
    <w:p>
      <w:pPr>
        <w:spacing w:after="0" w:line="121"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596E80"/>
        </w:rPr>
        <w:t>This document is part of a “shelf” registration statement on Form S-3 that we filed with the Securities and Exchange Commission, or the SEC, and is in two parts. The first part is this prospectus supplement, which describes the specific terms of this common stock and pre-funded warrants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82"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596E8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81"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596E80"/>
        </w:rPr>
        <w:t>We have not authorized anyone to provide any information other than that contained or incorporated by reference in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or pre-funded warrants.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titled “Where You Can Find More Information” and “Incorporation by Reference” in this prospectus supplement and in the accompanying prospectus.</w:t>
      </w:r>
    </w:p>
    <w:p>
      <w:pPr>
        <w:spacing w:after="0" w:line="88" w:lineRule="exact"/>
        <w:rPr>
          <w:sz w:val="20"/>
          <w:szCs w:val="20"/>
          <w:color w:val="auto"/>
        </w:rPr>
      </w:pPr>
    </w:p>
    <w:p>
      <w:pPr>
        <w:ind w:left="1260" w:right="539"/>
        <w:spacing w:after="0" w:line="253" w:lineRule="auto"/>
        <w:rPr>
          <w:sz w:val="20"/>
          <w:szCs w:val="20"/>
          <w:color w:val="auto"/>
        </w:rPr>
      </w:pPr>
      <w:r>
        <w:rPr>
          <w:rFonts w:ascii="Times New Roman" w:cs="Times New Roman" w:eastAsia="Times New Roman" w:hAnsi="Times New Roman"/>
          <w:sz w:val="18"/>
          <w:szCs w:val="18"/>
          <w:color w:val="596E80"/>
        </w:rPr>
        <w:t>We are offering to sell, and seeking offers to buy, shares of our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84"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596E80"/>
        </w:rPr>
        <w:t>As used in this prospectus, unless the context otherwise requires, references to the “Company,” “Praxis,” “we,” “us” and “our” refer to Praxis Precision Medicines, Inc. and its consolidated subsidiaries.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596E80"/>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596E80"/>
        </w:rPr>
        <w:t>PROSPECTUS SUPPLEMENT SUMMARY</w:t>
      </w:r>
    </w:p>
    <w:p>
      <w:pPr>
        <w:spacing w:after="0" w:line="119" w:lineRule="exact"/>
        <w:rPr>
          <w:sz w:val="20"/>
          <w:szCs w:val="20"/>
          <w:color w:val="auto"/>
        </w:rPr>
      </w:pPr>
    </w:p>
    <w:p>
      <w:pPr>
        <w:ind w:left="1280" w:right="519"/>
        <w:spacing w:after="0" w:line="254" w:lineRule="auto"/>
        <w:rPr>
          <w:rFonts w:ascii="Times New Roman" w:cs="Times New Roman" w:eastAsia="Times New Roman" w:hAnsi="Times New Roman"/>
          <w:sz w:val="18"/>
          <w:szCs w:val="18"/>
          <w:i w:val="1"/>
          <w:iCs w:val="1"/>
          <w:color w:val="596E80"/>
        </w:rPr>
      </w:pPr>
      <w:r>
        <w:rPr>
          <w:rFonts w:ascii="Times New Roman" w:cs="Times New Roman" w:eastAsia="Times New Roman" w:hAnsi="Times New Roman"/>
          <w:sz w:val="18"/>
          <w:szCs w:val="18"/>
          <w:i w:val="1"/>
          <w:iCs w:val="1"/>
          <w:color w:val="596E80"/>
        </w:rPr>
        <w:t xml:space="preserve">This summary highlights selected information contained elsewhere in this prospectus supplement and the accompanying prospectus and in the documents we incorporate by reference. This summary does not contain all of the information you should consider before investing in our securities. You should read this entire prospectus supplement and the accompanying prospectus carefully, especially the risks of investing in our securities discussed under “Risk Factors” beginning on page S-5 of this prospectus supplement and under a similar heading in our </w:t>
      </w:r>
      <w:hyperlink r:id="rId35">
        <w:r>
          <w:rPr>
            <w:rFonts w:ascii="Times New Roman" w:cs="Times New Roman" w:eastAsia="Times New Roman" w:hAnsi="Times New Roman"/>
            <w:sz w:val="18"/>
            <w:szCs w:val="18"/>
            <w:i w:val="1"/>
            <w:iCs w:val="1"/>
            <w:u w:val="single" w:color="auto"/>
            <w:color w:val="0000EE"/>
          </w:rPr>
          <w:t>Annual Report on Form 10-K for the year ended December 31, 2023</w:t>
        </w:r>
      </w:hyperlink>
      <w:r>
        <w:rPr>
          <w:rFonts w:ascii="Times New Roman" w:cs="Times New Roman" w:eastAsia="Times New Roman" w:hAnsi="Times New Roman"/>
          <w:sz w:val="18"/>
          <w:szCs w:val="18"/>
          <w:i w:val="1"/>
          <w:iCs w:val="1"/>
          <w:color w:val="596E80"/>
        </w:rPr>
        <w:t>, which is incorporated by reference in this prospectus supplement, along with our financial statements and notes to those financial statements and the other information incorporated by reference in this prospectus supplement and the accompanying prospectus, before making an investment decision.</w:t>
      </w:r>
    </w:p>
    <w:p>
      <w:pPr>
        <w:spacing w:after="0" w:line="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596E80"/>
        </w:rPr>
        <w:t>Our Company</w:t>
      </w:r>
    </w:p>
    <w:p>
      <w:pPr>
        <w:spacing w:after="0" w:line="121" w:lineRule="exact"/>
        <w:rPr>
          <w:sz w:val="20"/>
          <w:szCs w:val="20"/>
          <w:color w:val="auto"/>
        </w:rPr>
      </w:pPr>
    </w:p>
    <w:p>
      <w:pPr>
        <w:ind w:left="1280" w:right="479"/>
        <w:spacing w:after="0" w:line="254" w:lineRule="auto"/>
        <w:rPr>
          <w:sz w:val="20"/>
          <w:szCs w:val="20"/>
          <w:color w:val="auto"/>
        </w:rPr>
      </w:pPr>
      <w:r>
        <w:rPr>
          <w:rFonts w:ascii="Times New Roman" w:cs="Times New Roman" w:eastAsia="Times New Roman" w:hAnsi="Times New Roman"/>
          <w:sz w:val="18"/>
          <w:szCs w:val="18"/>
          <w:color w:val="596E80"/>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80" w:lineRule="exact"/>
        <w:rPr>
          <w:sz w:val="20"/>
          <w:szCs w:val="20"/>
          <w:color w:val="auto"/>
        </w:rPr>
      </w:pPr>
    </w:p>
    <w:p>
      <w:pPr>
        <w:ind w:left="1860" w:right="879" w:hanging="222"/>
        <w:spacing w:after="0" w:line="268" w:lineRule="auto"/>
        <w:tabs>
          <w:tab w:leader="none" w:pos="1860" w:val="left"/>
        </w:tabs>
        <w:numPr>
          <w:ilvl w:val="0"/>
          <w:numId w:val="4"/>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b w:val="1"/>
          <w:bCs w:val="1"/>
          <w:i w:val="1"/>
          <w:iCs w:val="1"/>
          <w:color w:val="596E80"/>
        </w:rPr>
        <w:t>Cerebrum</w:t>
      </w:r>
      <w:r>
        <w:rPr>
          <w:rFonts w:ascii="Times New Roman" w:cs="Times New Roman" w:eastAsia="Times New Roman" w:hAnsi="Times New Roman"/>
          <w:sz w:val="18"/>
          <w:szCs w:val="18"/>
          <w:color w:val="596E80"/>
        </w:rPr>
        <w:t>™, our small molecule platform, utilizes deep understanding of neuronal excitability and</w:t>
      </w:r>
      <w:r>
        <w:rPr>
          <w:rFonts w:ascii="Times New Roman" w:cs="Times New Roman" w:eastAsia="Times New Roman" w:hAnsi="Times New Roman"/>
          <w:sz w:val="18"/>
          <w:szCs w:val="18"/>
          <w:b w:val="1"/>
          <w:bCs w:val="1"/>
          <w:i w:val="1"/>
          <w:iCs w:val="1"/>
          <w:color w:val="596E80"/>
        </w:rPr>
        <w:t xml:space="preserve"> </w:t>
      </w:r>
      <w:r>
        <w:rPr>
          <w:rFonts w:ascii="Times New Roman" w:cs="Times New Roman" w:eastAsia="Times New Roman" w:hAnsi="Times New Roman"/>
          <w:sz w:val="18"/>
          <w:szCs w:val="18"/>
          <w:color w:val="596E80"/>
        </w:rPr>
        <w:t>neuronal networks and applies a series of computational and experimental tools to develop orally available precision therapies.</w:t>
      </w:r>
    </w:p>
    <w:p>
      <w:pPr>
        <w:spacing w:after="0" w:line="62" w:lineRule="exact"/>
        <w:rPr>
          <w:rFonts w:ascii="Times New Roman" w:cs="Times New Roman" w:eastAsia="Times New Roman" w:hAnsi="Times New Roman"/>
          <w:sz w:val="18"/>
          <w:szCs w:val="18"/>
          <w:color w:val="596E80"/>
        </w:rPr>
      </w:pPr>
    </w:p>
    <w:p>
      <w:pPr>
        <w:ind w:left="1860" w:right="599" w:hanging="222"/>
        <w:spacing w:after="0" w:line="286" w:lineRule="auto"/>
        <w:tabs>
          <w:tab w:leader="none" w:pos="1860" w:val="left"/>
        </w:tabs>
        <w:numPr>
          <w:ilvl w:val="0"/>
          <w:numId w:val="4"/>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b w:val="1"/>
          <w:bCs w:val="1"/>
          <w:i w:val="1"/>
          <w:iCs w:val="1"/>
          <w:color w:val="596E80"/>
        </w:rPr>
        <w:t>Solidus</w:t>
      </w:r>
      <w:r>
        <w:rPr>
          <w:rFonts w:ascii="Times New Roman" w:cs="Times New Roman" w:eastAsia="Times New Roman" w:hAnsi="Times New Roman"/>
          <w:sz w:val="18"/>
          <w:szCs w:val="18"/>
          <w:color w:val="596E80"/>
        </w:rPr>
        <w:t>™, our antisense oligonucleotide, or ASO, platform, is an efficient, targeted precision medicine</w:t>
      </w:r>
      <w:r>
        <w:rPr>
          <w:rFonts w:ascii="Times New Roman" w:cs="Times New Roman" w:eastAsia="Times New Roman" w:hAnsi="Times New Roman"/>
          <w:sz w:val="18"/>
          <w:szCs w:val="18"/>
          <w:b w:val="1"/>
          <w:bCs w:val="1"/>
          <w:i w:val="1"/>
          <w:iCs w:val="1"/>
          <w:color w:val="596E80"/>
        </w:rPr>
        <w:t xml:space="preserve"> </w:t>
      </w:r>
      <w:r>
        <w:rPr>
          <w:rFonts w:ascii="Times New Roman" w:cs="Times New Roman" w:eastAsia="Times New Roman" w:hAnsi="Times New Roman"/>
          <w:sz w:val="18"/>
          <w:szCs w:val="18"/>
          <w:color w:val="596E80"/>
        </w:rPr>
        <w:t>discovery and development engine anchored on a proprietary, computational methodology.</w:t>
      </w:r>
    </w:p>
    <w:p>
      <w:pPr>
        <w:spacing w:after="0" w:line="51" w:lineRule="exact"/>
        <w:rPr>
          <w:sz w:val="20"/>
          <w:szCs w:val="20"/>
          <w:color w:val="auto"/>
        </w:rPr>
      </w:pPr>
    </w:p>
    <w:p>
      <w:pPr>
        <w:ind w:left="1280" w:right="459"/>
        <w:spacing w:after="0" w:line="281" w:lineRule="auto"/>
        <w:rPr>
          <w:sz w:val="20"/>
          <w:szCs w:val="20"/>
          <w:color w:val="auto"/>
        </w:rPr>
      </w:pPr>
      <w:r>
        <w:rPr>
          <w:rFonts w:ascii="Times New Roman" w:cs="Times New Roman" w:eastAsia="Times New Roman" w:hAnsi="Times New Roman"/>
          <w:sz w:val="17"/>
          <w:szCs w:val="17"/>
          <w:color w:val="596E80"/>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w:t>
      </w:r>
    </w:p>
    <w:p>
      <w:pPr>
        <w:spacing w:after="0" w:line="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596E80"/>
        </w:rPr>
        <w:t>Recent Developments</w:t>
      </w:r>
    </w:p>
    <w:p>
      <w:pPr>
        <w:spacing w:after="0" w:line="121" w:lineRule="exact"/>
        <w:rPr>
          <w:sz w:val="20"/>
          <w:szCs w:val="20"/>
          <w:color w:val="auto"/>
        </w:rPr>
      </w:pPr>
    </w:p>
    <w:p>
      <w:pPr>
        <w:ind w:left="1280" w:right="899"/>
        <w:spacing w:after="0" w:line="282" w:lineRule="auto"/>
        <w:rPr>
          <w:sz w:val="20"/>
          <w:szCs w:val="20"/>
          <w:color w:val="auto"/>
        </w:rPr>
      </w:pPr>
      <w:r>
        <w:rPr>
          <w:rFonts w:ascii="Times New Roman" w:cs="Times New Roman" w:eastAsia="Times New Roman" w:hAnsi="Times New Roman"/>
          <w:sz w:val="18"/>
          <w:szCs w:val="18"/>
          <w:color w:val="596E80"/>
        </w:rPr>
        <w:t>On March 26, 2024, we reported the following results from our Phase 2a proof of concept study evaluating PRAX-628 in epilepsy patients with photo paroxysmal response, or PPR.</w:t>
      </w:r>
    </w:p>
    <w:p>
      <w:pPr>
        <w:spacing w:after="0" w:line="74" w:lineRule="exact"/>
        <w:rPr>
          <w:sz w:val="20"/>
          <w:szCs w:val="20"/>
          <w:color w:val="auto"/>
        </w:rPr>
      </w:pPr>
    </w:p>
    <w:tbl>
      <w:tblPr>
        <w:tblLayout w:type="fixed"/>
        <w:tblInd w:w="1640" w:type="dxa"/>
        <w:tblCellMar>
          <w:top w:w="0" w:type="dxa"/>
          <w:left w:w="0" w:type="dxa"/>
          <w:bottom w:w="0" w:type="dxa"/>
          <w:right w:w="0" w:type="dxa"/>
        </w:tblCellMar>
      </w:tblPr>
      <w:tr>
        <w:trPr>
          <w:trHeight w:val="38"/>
        </w:trPr>
        <w:tc>
          <w:tcPr>
            <w:tcW w:w="4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56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596E80"/>
              </w:rPr>
              <w:t>Summary of Response</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596E80"/>
              </w:rPr>
              <w:t>​</w:t>
            </w:r>
          </w:p>
        </w:tc>
        <w:tc>
          <w:tcPr>
            <w:tcW w:w="20" w:type="dxa"/>
            <w:vAlign w:val="bottom"/>
          </w:tcPr>
          <w:p>
            <w:pPr>
              <w:spacing w:after="0"/>
              <w:rPr>
                <w:sz w:val="3"/>
                <w:szCs w:val="3"/>
                <w:color w:val="auto"/>
              </w:rPr>
            </w:pPr>
          </w:p>
        </w:tc>
        <w:tc>
          <w:tcPr>
            <w:tcW w:w="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596E80"/>
              </w:rPr>
              <w:t>​</w:t>
            </w:r>
          </w:p>
        </w:tc>
        <w:tc>
          <w:tcPr>
            <w:tcW w:w="0" w:type="dxa"/>
            <w:vAlign w:val="bottom"/>
          </w:tcPr>
          <w:p>
            <w:pPr>
              <w:spacing w:after="0" w:line="20" w:lineRule="exact"/>
              <w:rPr>
                <w:sz w:val="1"/>
                <w:szCs w:val="1"/>
                <w:color w:val="auto"/>
              </w:rPr>
            </w:pPr>
          </w:p>
        </w:tc>
      </w:tr>
      <w:tr>
        <w:trPr>
          <w:trHeight w:val="175"/>
        </w:trPr>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596E80"/>
            </w:tcBorders>
            <w:vMerge w:val="continue"/>
          </w:tcPr>
          <w:p>
            <w:pPr>
              <w:spacing w:after="0"/>
              <w:rPr>
                <w:sz w:val="15"/>
                <w:szCs w:val="15"/>
                <w:color w:val="auto"/>
              </w:rPr>
            </w:pPr>
          </w:p>
        </w:tc>
        <w:tc>
          <w:tcPr>
            <w:tcW w:w="1560" w:type="dxa"/>
            <w:vAlign w:val="bottom"/>
            <w:tcBorders>
              <w:bottom w:val="single" w:sz="8" w:color="596E80"/>
            </w:tcBorders>
            <w:gridSpan w:val="6"/>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Borders>
              <w:bottom w:val="single" w:sz="8" w:color="596E80"/>
            </w:tcBorders>
            <w:shd w:val="clear" w:color="auto" w:fill="596E80"/>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596E80"/>
              </w:rPr>
              <w:t>Partial</w:t>
            </w:r>
          </w:p>
        </w:tc>
        <w:tc>
          <w:tcPr>
            <w:tcW w:w="760" w:type="dxa"/>
            <w:vAlign w:val="bottom"/>
            <w:gridSpan w:val="4"/>
          </w:tcPr>
          <w:p>
            <w:pPr>
              <w:jc w:val="center"/>
              <w:ind w:right="40"/>
              <w:spacing w:after="0" w:line="158" w:lineRule="exact"/>
              <w:rPr>
                <w:sz w:val="20"/>
                <w:szCs w:val="20"/>
                <w:color w:val="auto"/>
              </w:rPr>
            </w:pPr>
            <w:r>
              <w:rPr>
                <w:rFonts w:ascii="Times New Roman" w:cs="Times New Roman" w:eastAsia="Times New Roman" w:hAnsi="Times New Roman"/>
                <w:sz w:val="14"/>
                <w:szCs w:val="14"/>
                <w:b w:val="1"/>
                <w:bCs w:val="1"/>
                <w:color w:val="596E80"/>
              </w:rPr>
              <w:t>Complete</w:t>
            </w:r>
          </w:p>
        </w:tc>
        <w:tc>
          <w:tcPr>
            <w:tcW w:w="100" w:type="dxa"/>
            <w:vAlign w:val="bottom"/>
          </w:tcPr>
          <w:p>
            <w:pPr>
              <w:spacing w:after="0"/>
              <w:rPr>
                <w:sz w:val="13"/>
                <w:szCs w:val="13"/>
                <w:color w:val="auto"/>
              </w:rPr>
            </w:pPr>
          </w:p>
        </w:tc>
        <w:tc>
          <w:tcPr>
            <w:tcW w:w="20" w:type="dxa"/>
            <w:vAlign w:val="bottom"/>
            <w:shd w:val="clear" w:color="auto" w:fill="596E80"/>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596E80"/>
                <w:w w:val="99"/>
              </w:rPr>
              <w:t>Response</w:t>
            </w:r>
          </w:p>
        </w:tc>
        <w:tc>
          <w:tcPr>
            <w:tcW w:w="60" w:type="dxa"/>
            <w:vAlign w:val="bottom"/>
          </w:tcPr>
          <w:p>
            <w:pPr>
              <w:spacing w:after="0"/>
              <w:rPr>
                <w:sz w:val="14"/>
                <w:szCs w:val="14"/>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596E80"/>
              </w:rPr>
              <w:t>Response</w:t>
            </w:r>
          </w:p>
        </w:tc>
        <w:tc>
          <w:tcPr>
            <w:tcW w:w="100" w:type="dxa"/>
            <w:vAlign w:val="bottom"/>
          </w:tcPr>
          <w:p>
            <w:pPr>
              <w:spacing w:after="0"/>
              <w:rPr>
                <w:sz w:val="14"/>
                <w:szCs w:val="14"/>
                <w:color w:val="auto"/>
              </w:rPr>
            </w:pPr>
          </w:p>
        </w:tc>
        <w:tc>
          <w:tcPr>
            <w:tcW w:w="20" w:type="dxa"/>
            <w:vAlign w:val="bottom"/>
            <w:shd w:val="clear" w:color="auto" w:fill="596E80"/>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596E80"/>
              </w:rPr>
              <w:t>Total</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596E80"/>
              </w:rPr>
              <w:t>Cohort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596E80"/>
                <w:w w:val="99"/>
              </w:rPr>
              <w:t>Rate</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jc w:val="center"/>
              <w:ind w:left="82"/>
              <w:spacing w:after="0"/>
              <w:rPr>
                <w:sz w:val="20"/>
                <w:szCs w:val="20"/>
                <w:color w:val="auto"/>
              </w:rPr>
            </w:pPr>
            <w:r>
              <w:rPr>
                <w:rFonts w:ascii="Times New Roman" w:cs="Times New Roman" w:eastAsia="Times New Roman" w:hAnsi="Times New Roman"/>
                <w:sz w:val="14"/>
                <w:szCs w:val="14"/>
                <w:b w:val="1"/>
                <w:bCs w:val="1"/>
                <w:color w:val="596E80"/>
                <w:w w:val="99"/>
              </w:rPr>
              <w:t>Rate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596E80"/>
              </w:rPr>
              <w:t>​</w:t>
            </w:r>
          </w:p>
        </w:tc>
        <w:tc>
          <w:tcPr>
            <w:tcW w:w="20" w:type="dxa"/>
            <w:vAlign w:val="bottom"/>
            <w:shd w:val="clear" w:color="auto" w:fill="596E80"/>
          </w:tcPr>
          <w:p>
            <w:pPr>
              <w:spacing w:after="0"/>
              <w:rPr>
                <w:sz w:val="17"/>
                <w:szCs w:val="17"/>
                <w:color w:val="auto"/>
              </w:rPr>
            </w:pP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596E80"/>
              </w:rPr>
              <w:t>​  Response</w:t>
            </w:r>
          </w:p>
        </w:tc>
        <w:tc>
          <w:tcPr>
            <w:tcW w:w="0" w:type="dxa"/>
            <w:vAlign w:val="bottom"/>
          </w:tcPr>
          <w:p>
            <w:pPr>
              <w:spacing w:after="0"/>
              <w:rPr>
                <w:sz w:val="1"/>
                <w:szCs w:val="1"/>
                <w:color w:val="auto"/>
              </w:rPr>
            </w:pPr>
          </w:p>
        </w:tc>
      </w:tr>
      <w:tr>
        <w:trPr>
          <w:trHeight w:val="236"/>
        </w:trPr>
        <w:tc>
          <w:tcPr>
            <w:tcW w:w="4660" w:type="dxa"/>
            <w:vAlign w:val="bottom"/>
            <w:tcBorders>
              <w:top w:val="single" w:sz="8" w:color="596E80"/>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596E80"/>
              </w:rPr>
              <w:t>15 mg</w:t>
            </w:r>
          </w:p>
        </w:tc>
        <w:tc>
          <w:tcPr>
            <w:tcW w:w="22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596E80"/>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rPr>
              <w:t>20% (1)</w:t>
            </w:r>
          </w:p>
        </w:tc>
        <w:tc>
          <w:tcPr>
            <w:tcW w:w="2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596E80"/>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rPr>
              <w:t>80%</w:t>
            </w:r>
          </w:p>
        </w:tc>
        <w:tc>
          <w:tcPr>
            <w:tcW w:w="220" w:type="dxa"/>
            <w:vAlign w:val="bottom"/>
            <w:tcBorders>
              <w:top w:val="single" w:sz="8" w:color="596E80"/>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596E80"/>
                <w:w w:val="85"/>
              </w:rPr>
              <w:t>(4)</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596E80"/>
            </w:tcBorders>
            <w:shd w:val="clear" w:color="auto" w:fill="596E80"/>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596E80"/>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596E80"/>
              </w:rPr>
              <w:t>100% (5)</w:t>
            </w:r>
          </w:p>
        </w:tc>
        <w:tc>
          <w:tcPr>
            <w:tcW w:w="0" w:type="dxa"/>
            <w:vAlign w:val="bottom"/>
          </w:tcPr>
          <w:p>
            <w:pPr>
              <w:spacing w:after="0"/>
              <w:rPr>
                <w:sz w:val="1"/>
                <w:szCs w:val="1"/>
                <w:color w:val="auto"/>
              </w:rPr>
            </w:pPr>
          </w:p>
        </w:tc>
      </w:tr>
      <w:tr>
        <w:trPr>
          <w:trHeight w:val="24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596E80"/>
              </w:rPr>
              <w:t>45 mg</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596E80"/>
                <w:w w:val="94"/>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596E80"/>
              </w:rPr>
              <w:t>100%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596E80"/>
                <w:w w:val="85"/>
              </w:rPr>
              <w:t>(3)</w:t>
            </w:r>
          </w:p>
        </w:tc>
        <w:tc>
          <w:tcPr>
            <w:tcW w:w="100" w:type="dxa"/>
            <w:vAlign w:val="bottom"/>
          </w:tcPr>
          <w:p>
            <w:pPr>
              <w:spacing w:after="0"/>
              <w:rPr>
                <w:sz w:val="21"/>
                <w:szCs w:val="21"/>
                <w:color w:val="auto"/>
              </w:rPr>
            </w:pPr>
          </w:p>
        </w:tc>
        <w:tc>
          <w:tcPr>
            <w:tcW w:w="20" w:type="dxa"/>
            <w:vAlign w:val="bottom"/>
            <w:shd w:val="clear" w:color="auto" w:fill="596E80"/>
          </w:tcPr>
          <w:p>
            <w:pPr>
              <w:spacing w:after="0"/>
              <w:rPr>
                <w:sz w:val="21"/>
                <w:szCs w:val="21"/>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596E80"/>
              </w:rPr>
              <w:t>100% (3)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right w:val="single" w:sz="8" w:color="596E80"/>
            </w:tcBorders>
          </w:tcPr>
          <w:p>
            <w:pPr>
              <w:spacing w:after="0"/>
              <w:rPr>
                <w:sz w:val="2"/>
                <w:szCs w:val="2"/>
                <w:color w:val="auto"/>
              </w:rPr>
            </w:pPr>
          </w:p>
        </w:tc>
        <w:tc>
          <w:tcPr>
            <w:tcW w:w="580" w:type="dxa"/>
            <w:vAlign w:val="bottom"/>
            <w:shd w:val="clear" w:color="auto" w:fill="596E8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596E80"/>
          </w:tcPr>
          <w:p>
            <w:pPr>
              <w:spacing w:after="0"/>
              <w:rPr>
                <w:sz w:val="2"/>
                <w:szCs w:val="2"/>
                <w:color w:val="auto"/>
              </w:rPr>
            </w:pPr>
          </w:p>
        </w:tc>
        <w:tc>
          <w:tcPr>
            <w:tcW w:w="200" w:type="dxa"/>
            <w:vAlign w:val="bottom"/>
            <w:shd w:val="clear" w:color="auto" w:fill="596E8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596E8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596E8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596E80"/>
              </w:rPr>
              <w:t>Combined</w:t>
            </w:r>
          </w:p>
        </w:tc>
        <w:tc>
          <w:tcPr>
            <w:tcW w:w="8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w w:val="95"/>
              </w:rPr>
              <w:t>12% (1)</w:t>
            </w: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w w:val="90"/>
              </w:rPr>
              <w:t>  88%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596E80"/>
                <w:w w:val="85"/>
              </w:rPr>
              <w:t>(7)</w:t>
            </w:r>
          </w:p>
        </w:tc>
        <w:tc>
          <w:tcPr>
            <w:tcW w:w="100" w:type="dxa"/>
            <w:vAlign w:val="bottom"/>
            <w:shd w:val="clear" w:color="auto" w:fill="CCEEFF"/>
          </w:tcPr>
          <w:p>
            <w:pPr>
              <w:spacing w:after="0"/>
              <w:rPr>
                <w:sz w:val="22"/>
                <w:szCs w:val="22"/>
                <w:color w:val="auto"/>
              </w:rPr>
            </w:pPr>
          </w:p>
        </w:tc>
        <w:tc>
          <w:tcPr>
            <w:tcW w:w="20" w:type="dxa"/>
            <w:vAlign w:val="bottom"/>
            <w:shd w:val="clear" w:color="auto" w:fill="596E80"/>
          </w:tcPr>
          <w:p>
            <w:pPr>
              <w:spacing w:after="0"/>
              <w:rPr>
                <w:sz w:val="22"/>
                <w:szCs w:val="22"/>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596E80"/>
              </w:rPr>
              <w:t>100% (8)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596E80"/>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596E80"/>
            </w:tcBorders>
          </w:tcPr>
          <w:p>
            <w:pPr>
              <w:spacing w:after="0" w:line="20" w:lineRule="exact"/>
              <w:rPr>
                <w:sz w:val="1"/>
                <w:szCs w:val="1"/>
                <w:color w:val="auto"/>
              </w:rPr>
            </w:pPr>
          </w:p>
        </w:tc>
        <w:tc>
          <w:tcPr>
            <w:tcW w:w="200" w:type="dxa"/>
            <w:vAlign w:val="bottom"/>
            <w:tcBorders>
              <w:top w:val="single" w:sz="8" w:color="596E80"/>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596E80"/>
            </w:tcBorders>
            <w:shd w:val="clear" w:color="auto" w:fill="596E8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596E80"/>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80" w:right="519"/>
        <w:spacing w:after="0" w:line="254" w:lineRule="auto"/>
        <w:rPr>
          <w:sz w:val="20"/>
          <w:szCs w:val="20"/>
          <w:color w:val="auto"/>
        </w:rPr>
      </w:pPr>
      <w:r>
        <w:rPr>
          <w:rFonts w:ascii="Times New Roman" w:cs="Times New Roman" w:eastAsia="Times New Roman" w:hAnsi="Times New Roman"/>
          <w:sz w:val="18"/>
          <w:szCs w:val="18"/>
          <w:color w:val="596E80"/>
        </w:rPr>
        <w:t>In the PPR study, patient electroencephalogram signatures were assessed at defined measurement points over a 24-hour period after receiving placebo or PRAX-628, and results were compared to baseline. Patients must have demonstrated PPR during screening and baseline to be evaluable. A total of six patients were baselined in the 15 mg cohort, of whom five were evaluable. One patient in the 15 mg cohort did not present adequate PPR at baseline to be evaluated. Four patients were baselined in the 45 mg cohort, of whom three were evaluable. One patient in the 45 mg cohort was not evaluable due to lack of eligibility. Three patients from the 15 mg cohort participated in the 45 mg cohort after a washout period of greater than 100 days. Three patients were on background anti-seizure medications.</w:t>
      </w:r>
    </w:p>
    <w:p>
      <w:pPr>
        <w:spacing w:after="0" w:line="84" w:lineRule="exact"/>
        <w:rPr>
          <w:sz w:val="20"/>
          <w:szCs w:val="20"/>
          <w:color w:val="auto"/>
        </w:rPr>
      </w:pPr>
    </w:p>
    <w:p>
      <w:pPr>
        <w:ind w:left="1280" w:right="559"/>
        <w:spacing w:after="0" w:line="282" w:lineRule="auto"/>
        <w:rPr>
          <w:sz w:val="20"/>
          <w:szCs w:val="20"/>
          <w:color w:val="auto"/>
        </w:rPr>
      </w:pPr>
      <w:r>
        <w:rPr>
          <w:rFonts w:ascii="Times New Roman" w:cs="Times New Roman" w:eastAsia="Times New Roman" w:hAnsi="Times New Roman"/>
          <w:sz w:val="18"/>
          <w:szCs w:val="18"/>
          <w:color w:val="596E80"/>
        </w:rPr>
        <w:t>A complete response was a reduction to zero in the number of generalized PPR events at any assessment period versus baseline. A partial response was a reduction, other than to zero, in the number of generalized</w:t>
      </w: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596E80"/>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59"/>
        <w:spacing w:after="0" w:line="282" w:lineRule="auto"/>
        <w:rPr>
          <w:sz w:val="20"/>
          <w:szCs w:val="20"/>
          <w:color w:val="auto"/>
        </w:rPr>
      </w:pPr>
      <w:r>
        <w:rPr>
          <w:rFonts w:ascii="Times New Roman" w:cs="Times New Roman" w:eastAsia="Times New Roman" w:hAnsi="Times New Roman"/>
          <w:sz w:val="18"/>
          <w:szCs w:val="18"/>
          <w:color w:val="596E80"/>
        </w:rPr>
        <w:t>PPR events at any assessment period versus baseline. Safety results were consistent with our prior Phase 1 dose escalation study of PRAX-628 and pharmacokinetic analysis confirmed therapeutic exposures.</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596E80"/>
        </w:rPr>
        <w:t>We plan to initiate an efficacy study in focal onset epilepsy in the second half of 2024.</w:t>
      </w:r>
    </w:p>
    <w:p>
      <w:pPr>
        <w:spacing w:after="0" w:line="1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596E80"/>
        </w:rPr>
        <w:t>Corporate Information</w:t>
      </w:r>
    </w:p>
    <w:p>
      <w:pPr>
        <w:spacing w:after="0" w:line="121" w:lineRule="exact"/>
        <w:rPr>
          <w:sz w:val="20"/>
          <w:szCs w:val="20"/>
          <w:color w:val="auto"/>
        </w:rPr>
      </w:pPr>
    </w:p>
    <w:p>
      <w:pPr>
        <w:ind w:left="1280" w:right="459"/>
        <w:spacing w:after="0" w:line="258" w:lineRule="auto"/>
        <w:rPr>
          <w:sz w:val="20"/>
          <w:szCs w:val="20"/>
          <w:color w:val="auto"/>
        </w:rPr>
      </w:pPr>
      <w:r>
        <w:rPr>
          <w:rFonts w:ascii="Times New Roman" w:cs="Times New Roman" w:eastAsia="Times New Roman" w:hAnsi="Times New Roman"/>
          <w:sz w:val="18"/>
          <w:szCs w:val="18"/>
          <w:color w:val="596E80"/>
        </w:rPr>
        <w:t>We were incorporated under the laws of the State of Delaware on September 22, 2015. Our principal executive office is located at 99 High Street, 30th Floor, Boston, MA 02110, and our telephone number is (617) 300-8460. Our website address is www.praxismedicines.com. We do not incorporate the information on or accessible through our website into this prospectus supplement, and you should not consider any information on, or that can be accessed through, our website as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596E80"/>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b w:val="1"/>
          <w:bCs w:val="1"/>
          <w:color w:val="596E80"/>
        </w:rPr>
        <w:t>THE OFFERING</w:t>
      </w:r>
    </w:p>
    <w:p>
      <w:pPr>
        <w:sectPr>
          <w:pgSz w:w="11900" w:h="16838" w:orient="portrait"/>
          <w:cols w:equalWidth="0" w:num="1">
            <w:col w:w="9879"/>
          </w:cols>
          <w:pgMar w:left="580" w:top="97" w:right="1440" w:bottom="1440" w:gutter="0" w:footer="0" w:header="0"/>
        </w:sectPr>
      </w:pP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596E80"/>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96E80"/>
        </w:rPr>
        <w:t>3,318,585 shares</w:t>
      </w:r>
    </w:p>
    <w:p>
      <w:pPr>
        <w:spacing w:after="0" w:line="200" w:lineRule="exact"/>
        <w:rPr>
          <w:sz w:val="20"/>
          <w:szCs w:val="20"/>
          <w:color w:val="auto"/>
        </w:rPr>
      </w:pPr>
    </w:p>
    <w:p>
      <w:pPr>
        <w:sectPr>
          <w:pgSz w:w="11900" w:h="16838" w:orient="portrait"/>
          <w:cols w:equalWidth="0" w:num="2">
            <w:col w:w="3580" w:space="720"/>
            <w:col w:w="5579"/>
          </w:cols>
          <w:pgMar w:left="580" w:top="97" w:right="1440" w:bottom="1440" w:gutter="0" w:footer="0" w:header="0"/>
          <w:type w:val="continuous"/>
        </w:sectPr>
      </w:pP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596E80"/>
        </w:rPr>
        <w:t>Pre-funded warrants offered</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596E80"/>
        </w:rPr>
        <w:t>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399"/>
        <w:spacing w:after="0" w:line="253" w:lineRule="auto"/>
        <w:rPr>
          <w:sz w:val="20"/>
          <w:szCs w:val="20"/>
          <w:color w:val="auto"/>
        </w:rPr>
      </w:pPr>
      <w:r>
        <w:rPr>
          <w:rFonts w:ascii="Times New Roman" w:cs="Times New Roman" w:eastAsia="Times New Roman" w:hAnsi="Times New Roman"/>
          <w:sz w:val="18"/>
          <w:szCs w:val="18"/>
          <w:color w:val="596E80"/>
        </w:rPr>
        <w:t>We are also offering, in lieu of common stock to certain investors, pre-funded warrants to purchase 221,238 shares of our common stock. The purchase price of the pre-funded warrants matches the price per share at which the shares of our common stock are being sold to the public in this offering, minus $0.0001, which is the per share exercise price of the pre-funded warrants. The pre-funded warrants will be exercisable at any time after the date of issuance of such pre-funded warrants, subject to an ownership limitation. See “Description of Pre-funded Warrants.” This prospectus supplement also relates to the offering of the shares of our common stock issuable upon exercise of the pre-funded warrants.</w:t>
      </w:r>
    </w:p>
    <w:p>
      <w:pPr>
        <w:spacing w:after="0" w:line="190" w:lineRule="exact"/>
        <w:rPr>
          <w:sz w:val="20"/>
          <w:szCs w:val="20"/>
          <w:color w:val="auto"/>
        </w:rPr>
      </w:pPr>
    </w:p>
    <w:p>
      <w:pPr>
        <w:sectPr>
          <w:pgSz w:w="11900" w:h="16838" w:orient="portrait"/>
          <w:cols w:equalWidth="0" w:num="2">
            <w:col w:w="3580" w:space="720"/>
            <w:col w:w="5579"/>
          </w:cols>
          <w:pgMar w:left="580" w:top="97" w:right="1440" w:bottom="1440" w:gutter="0" w:footer="0" w:header="0"/>
          <w:type w:val="continuous"/>
        </w:sectPr>
      </w:pPr>
    </w:p>
    <w:p>
      <w:pPr>
        <w:jc w:val="center"/>
        <w:ind w:left="620"/>
        <w:spacing w:after="0"/>
        <w:rPr>
          <w:sz w:val="20"/>
          <w:szCs w:val="20"/>
          <w:color w:val="auto"/>
        </w:rPr>
      </w:pPr>
      <w:r>
        <w:rPr>
          <w:rFonts w:ascii="Times New Roman" w:cs="Times New Roman" w:eastAsia="Times New Roman" w:hAnsi="Times New Roman"/>
          <w:sz w:val="18"/>
          <w:szCs w:val="18"/>
          <w:b w:val="1"/>
          <w:bCs w:val="1"/>
          <w:color w:val="596E80"/>
        </w:rPr>
        <w:t>Underwriters’ option</w:t>
      </w:r>
    </w:p>
    <w:p>
      <w:pPr>
        <w:spacing w:after="0" w:line="20" w:lineRule="exact"/>
        <w:rPr>
          <w:sz w:val="20"/>
          <w:szCs w:val="20"/>
          <w:color w:val="auto"/>
        </w:rPr>
      </w:pPr>
      <w:r>
        <w:rPr>
          <w:sz w:val="20"/>
          <w:szCs w:val="20"/>
          <w:color w:val="auto"/>
        </w:rPr>
        <w:br w:type="column"/>
      </w:r>
    </w:p>
    <w:p>
      <w:pPr>
        <w:ind w:right="519"/>
        <w:spacing w:after="0" w:line="261" w:lineRule="auto"/>
        <w:rPr>
          <w:sz w:val="20"/>
          <w:szCs w:val="20"/>
          <w:color w:val="auto"/>
        </w:rPr>
      </w:pPr>
      <w:r>
        <w:rPr>
          <w:rFonts w:ascii="Times New Roman" w:cs="Times New Roman" w:eastAsia="Times New Roman" w:hAnsi="Times New Roman"/>
          <w:sz w:val="18"/>
          <w:szCs w:val="18"/>
          <w:color w:val="596E80"/>
        </w:rPr>
        <w:t>We have granted the underwriters an option to purchase up to 530,973 additional shares of our common stock. This option is exercisable, in whole or in part, for a period of 30 days from the date of this prospectus supplement.</w:t>
      </w:r>
    </w:p>
    <w:p>
      <w:pPr>
        <w:spacing w:after="0" w:line="176" w:lineRule="exact"/>
        <w:rPr>
          <w:sz w:val="20"/>
          <w:szCs w:val="20"/>
          <w:color w:val="auto"/>
        </w:rPr>
      </w:pPr>
    </w:p>
    <w:p>
      <w:pPr>
        <w:sectPr>
          <w:pgSz w:w="11900" w:h="16838" w:orient="portrait"/>
          <w:cols w:equalWidth="0" w:num="2">
            <w:col w:w="3580" w:space="720"/>
            <w:col w:w="5579"/>
          </w:cols>
          <w:pgMar w:left="580" w:top="97" w:right="1440" w:bottom="1440" w:gutter="0" w:footer="0" w:header="0"/>
          <w:type w:val="continuous"/>
        </w:sectPr>
      </w:pPr>
    </w:p>
    <w:p>
      <w:pPr>
        <w:ind w:left="1460" w:hanging="179"/>
        <w:spacing w:after="0" w:line="268" w:lineRule="auto"/>
        <w:rPr>
          <w:sz w:val="20"/>
          <w:szCs w:val="20"/>
          <w:color w:val="auto"/>
        </w:rPr>
      </w:pPr>
      <w:r>
        <w:rPr>
          <w:rFonts w:ascii="Times New Roman" w:cs="Times New Roman" w:eastAsia="Times New Roman" w:hAnsi="Times New Roman"/>
          <w:sz w:val="18"/>
          <w:szCs w:val="18"/>
          <w:b w:val="1"/>
          <w:bCs w:val="1"/>
          <w:color w:val="596E80"/>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479"/>
        <w:spacing w:after="0" w:line="266" w:lineRule="auto"/>
        <w:rPr>
          <w:sz w:val="20"/>
          <w:szCs w:val="20"/>
          <w:color w:val="auto"/>
        </w:rPr>
      </w:pPr>
      <w:r>
        <w:rPr>
          <w:rFonts w:ascii="Times New Roman" w:cs="Times New Roman" w:eastAsia="Times New Roman" w:hAnsi="Times New Roman"/>
          <w:sz w:val="18"/>
          <w:szCs w:val="18"/>
          <w:color w:val="596E80"/>
        </w:rPr>
        <w:t>16,556,934 shares (or 17,087,907 shares if the underwriters exercise in full their option to purchase additional shares), excluding shares of common stock issuable upon exercise of the pre-funded warrants.</w:t>
      </w:r>
    </w:p>
    <w:p>
      <w:pPr>
        <w:spacing w:after="0" w:line="172" w:lineRule="exact"/>
        <w:rPr>
          <w:sz w:val="20"/>
          <w:szCs w:val="20"/>
          <w:color w:val="auto"/>
        </w:rPr>
      </w:pPr>
    </w:p>
    <w:p>
      <w:pPr>
        <w:sectPr>
          <w:pgSz w:w="11900" w:h="16838" w:orient="portrait"/>
          <w:cols w:equalWidth="0" w:num="2">
            <w:col w:w="3800" w:space="500"/>
            <w:col w:w="5579"/>
          </w:cols>
          <w:pgMar w:left="580" w:top="97"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7"/>
          <w:szCs w:val="17"/>
          <w:b w:val="1"/>
          <w:bCs w:val="1"/>
          <w:color w:val="596E80"/>
        </w:rPr>
        <w:t>Use of proceeds</w:t>
      </w:r>
    </w:p>
    <w:p>
      <w:pPr>
        <w:spacing w:after="0" w:line="20" w:lineRule="exact"/>
        <w:rPr>
          <w:sz w:val="20"/>
          <w:szCs w:val="20"/>
          <w:color w:val="auto"/>
        </w:rPr>
      </w:pPr>
      <w:r>
        <w:rPr>
          <w:sz w:val="20"/>
          <w:szCs w:val="20"/>
          <w:color w:val="auto"/>
        </w:rPr>
        <w:br w:type="column"/>
      </w:r>
    </w:p>
    <w:p>
      <w:pPr>
        <w:ind w:right="599"/>
        <w:spacing w:after="0" w:line="258" w:lineRule="auto"/>
        <w:rPr>
          <w:sz w:val="20"/>
          <w:szCs w:val="20"/>
          <w:color w:val="auto"/>
        </w:rPr>
      </w:pPr>
      <w:r>
        <w:rPr>
          <w:rFonts w:ascii="Times New Roman" w:cs="Times New Roman" w:eastAsia="Times New Roman" w:hAnsi="Times New Roman"/>
          <w:sz w:val="18"/>
          <w:szCs w:val="18"/>
          <w:color w:val="596E80"/>
        </w:rPr>
        <w:t>We intend to use the net proceeds of this offering to accelerate the clinical development of PRAX-628, continue our research and development activities in ulixacaltamide, PRAX-562 and PRAX-222 and for working capital and other general corporate purposes. Please see “Use of Proceeds” on page S-9.</w:t>
      </w:r>
    </w:p>
    <w:p>
      <w:pPr>
        <w:spacing w:after="0" w:line="179" w:lineRule="exact"/>
        <w:rPr>
          <w:sz w:val="20"/>
          <w:szCs w:val="20"/>
          <w:color w:val="auto"/>
        </w:rPr>
      </w:pPr>
    </w:p>
    <w:p>
      <w:pPr>
        <w:sectPr>
          <w:pgSz w:w="11900" w:h="16838" w:orient="portrait"/>
          <w:cols w:equalWidth="0" w:num="2">
            <w:col w:w="3580" w:space="720"/>
            <w:col w:w="5579"/>
          </w:cols>
          <w:pgMar w:left="580" w:top="97"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7"/>
          <w:szCs w:val="17"/>
          <w:b w:val="1"/>
          <w:bCs w:val="1"/>
          <w:color w:val="596E80"/>
        </w:rPr>
        <w:t>Risk factors</w:t>
      </w:r>
    </w:p>
    <w:p>
      <w:pPr>
        <w:spacing w:after="0" w:line="20" w:lineRule="exact"/>
        <w:rPr>
          <w:sz w:val="20"/>
          <w:szCs w:val="20"/>
          <w:color w:val="auto"/>
        </w:rPr>
      </w:pPr>
      <w:r>
        <w:rPr>
          <w:sz w:val="20"/>
          <w:szCs w:val="20"/>
          <w:color w:val="auto"/>
        </w:rPr>
        <w:br w:type="column"/>
      </w:r>
    </w:p>
    <w:p>
      <w:pPr>
        <w:ind w:right="419"/>
        <w:spacing w:after="0" w:line="258" w:lineRule="auto"/>
        <w:rPr>
          <w:sz w:val="20"/>
          <w:szCs w:val="20"/>
          <w:color w:val="auto"/>
        </w:rPr>
      </w:pPr>
      <w:r>
        <w:rPr>
          <w:rFonts w:ascii="Times New Roman" w:cs="Times New Roman" w:eastAsia="Times New Roman" w:hAnsi="Times New Roman"/>
          <w:sz w:val="18"/>
          <w:szCs w:val="18"/>
          <w:color w:val="596E80"/>
        </w:rPr>
        <w:t>Investing in our securities involves significant risks. See “Risk Factors” beginning on page S-5 of this prospectus supplement and in the documents incorporated by reference into this prospectus supplement, for a discussion of factors that you should read and consider before investing in our securities.</w:t>
      </w:r>
    </w:p>
    <w:p>
      <w:pPr>
        <w:spacing w:after="0" w:line="179" w:lineRule="exact"/>
        <w:rPr>
          <w:sz w:val="20"/>
          <w:szCs w:val="20"/>
          <w:color w:val="auto"/>
        </w:rPr>
      </w:pPr>
    </w:p>
    <w:p>
      <w:pPr>
        <w:sectPr>
          <w:pgSz w:w="11900" w:h="16838" w:orient="portrait"/>
          <w:cols w:equalWidth="0" w:num="2">
            <w:col w:w="3580" w:space="720"/>
            <w:col w:w="5579"/>
          </w:cols>
          <w:pgMar w:left="580" w:top="97"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8"/>
          <w:szCs w:val="18"/>
          <w:b w:val="1"/>
          <w:bCs w:val="1"/>
          <w:color w:val="596E80"/>
        </w:rPr>
        <w:t>Nasdaq Global Select Market</w:t>
      </w:r>
    </w:p>
    <w:p>
      <w:pPr>
        <w:spacing w:after="0" w:line="31" w:lineRule="exact"/>
        <w:rPr>
          <w:sz w:val="20"/>
          <w:szCs w:val="20"/>
          <w:color w:val="auto"/>
        </w:rPr>
      </w:pPr>
    </w:p>
    <w:p>
      <w:pPr>
        <w:ind w:left="4300" w:right="419" w:hanging="2839"/>
        <w:spacing w:after="0" w:line="253" w:lineRule="auto"/>
        <w:tabs>
          <w:tab w:leader="none" w:pos="4280" w:val="left"/>
        </w:tabs>
        <w:rPr>
          <w:sz w:val="20"/>
          <w:szCs w:val="20"/>
          <w:color w:val="auto"/>
        </w:rPr>
      </w:pPr>
      <w:r>
        <w:rPr>
          <w:rFonts w:ascii="Times New Roman" w:cs="Times New Roman" w:eastAsia="Times New Roman" w:hAnsi="Times New Roman"/>
          <w:sz w:val="18"/>
          <w:szCs w:val="18"/>
          <w:b w:val="1"/>
          <w:bCs w:val="1"/>
          <w:color w:val="596E80"/>
        </w:rPr>
        <w:t>symbol</w:t>
      </w:r>
      <w:r>
        <w:rPr>
          <w:sz w:val="20"/>
          <w:szCs w:val="20"/>
          <w:color w:val="auto"/>
        </w:rPr>
        <w:tab/>
      </w:r>
      <w:r>
        <w:rPr>
          <w:rFonts w:ascii="Times New Roman" w:cs="Times New Roman" w:eastAsia="Times New Roman" w:hAnsi="Times New Roman"/>
          <w:sz w:val="18"/>
          <w:szCs w:val="18"/>
          <w:color w:val="596E80"/>
        </w:rPr>
        <w:t>Our common stock is listed on The Nasdaq Global Select Market under the symbol “PRAX.” We do not intend to list the pre-funded warrants on Nasdaq or any other nationally recognized securities exchange or trading system.</w:t>
      </w:r>
    </w:p>
    <w:p>
      <w:pPr>
        <w:spacing w:after="0" w:line="81" w:lineRule="exact"/>
        <w:rPr>
          <w:sz w:val="20"/>
          <w:szCs w:val="20"/>
          <w:color w:val="auto"/>
        </w:rPr>
      </w:pPr>
    </w:p>
    <w:p>
      <w:pPr>
        <w:ind w:left="1280" w:right="759"/>
        <w:spacing w:after="0" w:line="282" w:lineRule="auto"/>
        <w:rPr>
          <w:sz w:val="20"/>
          <w:szCs w:val="20"/>
          <w:color w:val="auto"/>
        </w:rPr>
      </w:pPr>
      <w:r>
        <w:rPr>
          <w:rFonts w:ascii="Times New Roman" w:cs="Times New Roman" w:eastAsia="Times New Roman" w:hAnsi="Times New Roman"/>
          <w:sz w:val="18"/>
          <w:szCs w:val="18"/>
          <w:color w:val="596E80"/>
        </w:rPr>
        <w:t>The number of shares of common stock to be outstanding after this offering is based on 13,238,349 shares of common stock outstanding as of February 29, 2024 and excludes:</w:t>
      </w:r>
    </w:p>
    <w:p>
      <w:pPr>
        <w:spacing w:after="0" w:line="54" w:lineRule="exact"/>
        <w:rPr>
          <w:sz w:val="20"/>
          <w:szCs w:val="20"/>
          <w:color w:val="auto"/>
        </w:rPr>
      </w:pPr>
    </w:p>
    <w:p>
      <w:pPr>
        <w:ind w:left="1860" w:right="479" w:hanging="222"/>
        <w:spacing w:after="0" w:line="266" w:lineRule="auto"/>
        <w:tabs>
          <w:tab w:leader="none" w:pos="1860" w:val="left"/>
        </w:tabs>
        <w:numPr>
          <w:ilvl w:val="0"/>
          <w:numId w:val="5"/>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1,084,674 shares of our common stock issuable upon the exercise of stock options outstanding as of February 29, 2024 under our 2017 Stock Incentive Plan, 2020 Stock Option and Incentive Plan and 2024 Inducement Plan, at a weighted average exercise price of  $114.56 per share;</w:t>
      </w:r>
    </w:p>
    <w:p>
      <w:pPr>
        <w:spacing w:after="0" w:line="67" w:lineRule="exact"/>
        <w:rPr>
          <w:rFonts w:ascii="Times New Roman" w:cs="Times New Roman" w:eastAsia="Times New Roman" w:hAnsi="Times New Roman"/>
          <w:sz w:val="18"/>
          <w:szCs w:val="18"/>
          <w:color w:val="596E80"/>
        </w:rPr>
      </w:pPr>
    </w:p>
    <w:p>
      <w:pPr>
        <w:ind w:left="1860" w:right="899" w:hanging="222"/>
        <w:spacing w:after="0" w:line="282" w:lineRule="auto"/>
        <w:tabs>
          <w:tab w:leader="none" w:pos="1860" w:val="left"/>
        </w:tabs>
        <w:numPr>
          <w:ilvl w:val="0"/>
          <w:numId w:val="5"/>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111,139 shares of our common stock reserved for future issuance under our 2020 Stock Option and Incentive Plan as of 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596E80"/>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60" w:right="959" w:hanging="222"/>
        <w:spacing w:after="0" w:line="282" w:lineRule="auto"/>
        <w:tabs>
          <w:tab w:leader="none" w:pos="1860" w:val="left"/>
        </w:tabs>
        <w:numPr>
          <w:ilvl w:val="0"/>
          <w:numId w:val="6"/>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141,029 shares of our common stock reserved for future issuance under our 2020 Employee Stock Purchase Plan as of February 29, 2024;</w:t>
      </w:r>
    </w:p>
    <w:p>
      <w:pPr>
        <w:spacing w:after="0" w:line="53" w:lineRule="exact"/>
        <w:rPr>
          <w:rFonts w:ascii="Times New Roman" w:cs="Times New Roman" w:eastAsia="Times New Roman" w:hAnsi="Times New Roman"/>
          <w:sz w:val="18"/>
          <w:szCs w:val="18"/>
          <w:color w:val="596E80"/>
        </w:rPr>
      </w:pPr>
    </w:p>
    <w:p>
      <w:pPr>
        <w:ind w:left="1860" w:right="639" w:hanging="222"/>
        <w:spacing w:after="0" w:line="266" w:lineRule="auto"/>
        <w:tabs>
          <w:tab w:leader="none" w:pos="1860" w:val="left"/>
        </w:tabs>
        <w:numPr>
          <w:ilvl w:val="0"/>
          <w:numId w:val="6"/>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99,050 shares of our common stock reserved for future vesting of restricted stock units under our 2017 Stock Incentive Plan, 2020 Stock Option and Incentive Plan and 2024 Inducement Plan as of February 29, 2024;</w:t>
      </w:r>
    </w:p>
    <w:p>
      <w:pPr>
        <w:spacing w:after="0" w:line="67" w:lineRule="exact"/>
        <w:rPr>
          <w:rFonts w:ascii="Times New Roman" w:cs="Times New Roman" w:eastAsia="Times New Roman" w:hAnsi="Times New Roman"/>
          <w:sz w:val="18"/>
          <w:szCs w:val="18"/>
          <w:color w:val="596E80"/>
        </w:rPr>
      </w:pPr>
    </w:p>
    <w:p>
      <w:pPr>
        <w:ind w:left="1860" w:right="539" w:hanging="222"/>
        <w:spacing w:after="0" w:line="282" w:lineRule="auto"/>
        <w:tabs>
          <w:tab w:leader="none" w:pos="1860" w:val="left"/>
        </w:tabs>
        <w:numPr>
          <w:ilvl w:val="0"/>
          <w:numId w:val="6"/>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996,950 shares of our common stock reserved for future issuance under our 2024 Inducement Plan as of February 29, 2024;</w:t>
      </w:r>
    </w:p>
    <w:p>
      <w:pPr>
        <w:spacing w:after="0" w:line="53" w:lineRule="exact"/>
        <w:rPr>
          <w:rFonts w:ascii="Times New Roman" w:cs="Times New Roman" w:eastAsia="Times New Roman" w:hAnsi="Times New Roman"/>
          <w:sz w:val="18"/>
          <w:szCs w:val="18"/>
          <w:color w:val="596E80"/>
        </w:rPr>
      </w:pPr>
    </w:p>
    <w:p>
      <w:pPr>
        <w:ind w:left="1860" w:right="479" w:hanging="222"/>
        <w:spacing w:after="0" w:line="282" w:lineRule="auto"/>
        <w:tabs>
          <w:tab w:leader="none" w:pos="1860" w:val="left"/>
        </w:tabs>
        <w:numPr>
          <w:ilvl w:val="0"/>
          <w:numId w:val="6"/>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470,000 shares of our common stock issuable upon the exercise of pre-funded warrants outstanding as of February 29, 2024, at an exercise price of  $0.0015 per share;</w:t>
      </w:r>
    </w:p>
    <w:p>
      <w:pPr>
        <w:spacing w:after="0" w:line="53" w:lineRule="exact"/>
        <w:rPr>
          <w:rFonts w:ascii="Times New Roman" w:cs="Times New Roman" w:eastAsia="Times New Roman" w:hAnsi="Times New Roman"/>
          <w:sz w:val="18"/>
          <w:szCs w:val="18"/>
          <w:color w:val="596E80"/>
        </w:rPr>
      </w:pPr>
    </w:p>
    <w:p>
      <w:pPr>
        <w:ind w:left="1860" w:right="539" w:hanging="222"/>
        <w:spacing w:after="0" w:line="282" w:lineRule="auto"/>
        <w:tabs>
          <w:tab w:leader="none" w:pos="1860" w:val="left"/>
        </w:tabs>
        <w:numPr>
          <w:ilvl w:val="0"/>
          <w:numId w:val="6"/>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1,056,725 shares of our common stock issuable upon the exercise of pre-funded warrants outstanding as of February 29, 2024 at an exercise price of  $0.0001 per share; and</w:t>
      </w:r>
    </w:p>
    <w:p>
      <w:pPr>
        <w:spacing w:after="0" w:line="53" w:lineRule="exact"/>
        <w:rPr>
          <w:rFonts w:ascii="Times New Roman" w:cs="Times New Roman" w:eastAsia="Times New Roman" w:hAnsi="Times New Roman"/>
          <w:sz w:val="18"/>
          <w:szCs w:val="18"/>
          <w:color w:val="596E80"/>
        </w:rPr>
      </w:pPr>
    </w:p>
    <w:p>
      <w:pPr>
        <w:ind w:left="1860" w:right="519" w:hanging="222"/>
        <w:spacing w:after="0" w:line="275" w:lineRule="auto"/>
        <w:tabs>
          <w:tab w:leader="none" w:pos="1860" w:val="left"/>
        </w:tabs>
        <w:numPr>
          <w:ilvl w:val="0"/>
          <w:numId w:val="6"/>
        </w:numPr>
        <w:rPr>
          <w:rFonts w:ascii="Times New Roman" w:cs="Times New Roman" w:eastAsia="Times New Roman" w:hAnsi="Times New Roman"/>
          <w:sz w:val="17"/>
          <w:szCs w:val="17"/>
          <w:color w:val="596E80"/>
        </w:rPr>
      </w:pPr>
      <w:r>
        <w:rPr>
          <w:rFonts w:ascii="Times New Roman" w:cs="Times New Roman" w:eastAsia="Times New Roman" w:hAnsi="Times New Roman"/>
          <w:sz w:val="17"/>
          <w:szCs w:val="17"/>
          <w:color w:val="596E80"/>
        </w:rPr>
        <w:t>17,662 shares of our common stock issued after February 29, 2024 pursuant to an Open Market Sale Agreement</w:t>
      </w:r>
      <w:r>
        <w:rPr>
          <w:rFonts w:ascii="Times New Roman" w:cs="Times New Roman" w:eastAsia="Times New Roman" w:hAnsi="Times New Roman"/>
          <w:sz w:val="25"/>
          <w:szCs w:val="25"/>
          <w:color w:val="596E80"/>
          <w:vertAlign w:val="superscript"/>
        </w:rPr>
        <w:t>SM</w:t>
      </w:r>
      <w:r>
        <w:rPr>
          <w:rFonts w:ascii="Times New Roman" w:cs="Times New Roman" w:eastAsia="Times New Roman" w:hAnsi="Times New Roman"/>
          <w:sz w:val="17"/>
          <w:szCs w:val="17"/>
          <w:color w:val="596E80"/>
        </w:rPr>
        <w:t xml:space="preserve"> by and between us and Jefferies LLC, dated as of March 5, 2024, or the Sales Agreement.</w:t>
      </w:r>
    </w:p>
    <w:p>
      <w:pPr>
        <w:ind w:left="1280"/>
        <w:spacing w:after="0"/>
        <w:rPr>
          <w:sz w:val="20"/>
          <w:szCs w:val="20"/>
          <w:color w:val="auto"/>
        </w:rPr>
      </w:pPr>
      <w:r>
        <w:rPr>
          <w:rFonts w:ascii="Times New Roman" w:cs="Times New Roman" w:eastAsia="Times New Roman" w:hAnsi="Times New Roman"/>
          <w:sz w:val="18"/>
          <w:szCs w:val="18"/>
          <w:color w:val="596E80"/>
        </w:rPr>
        <w:t>Unless otherwise indicated, this prospectus supplement reflects and assumes the following:</w:t>
      </w:r>
    </w:p>
    <w:p>
      <w:pPr>
        <w:spacing w:after="0" w:line="117" w:lineRule="exact"/>
        <w:rPr>
          <w:sz w:val="20"/>
          <w:szCs w:val="20"/>
          <w:color w:val="auto"/>
        </w:rPr>
      </w:pPr>
    </w:p>
    <w:p>
      <w:pPr>
        <w:ind w:left="1860" w:right="579" w:hanging="222"/>
        <w:spacing w:after="0" w:line="282" w:lineRule="auto"/>
        <w:tabs>
          <w:tab w:leader="none" w:pos="1860" w:val="left"/>
        </w:tabs>
        <w:numPr>
          <w:ilvl w:val="0"/>
          <w:numId w:val="7"/>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no exercise of the outstanding options and no vesting of the outstanding restricted stock units described above;</w:t>
      </w:r>
    </w:p>
    <w:p>
      <w:pPr>
        <w:spacing w:after="0" w:line="53" w:lineRule="exact"/>
        <w:rPr>
          <w:rFonts w:ascii="Times New Roman" w:cs="Times New Roman" w:eastAsia="Times New Roman" w:hAnsi="Times New Roman"/>
          <w:sz w:val="18"/>
          <w:szCs w:val="18"/>
          <w:color w:val="596E80"/>
        </w:rPr>
      </w:pPr>
    </w:p>
    <w:p>
      <w:pPr>
        <w:ind w:left="1860" w:hanging="222"/>
        <w:spacing w:after="0"/>
        <w:tabs>
          <w:tab w:leader="none" w:pos="1860" w:val="left"/>
        </w:tabs>
        <w:numPr>
          <w:ilvl w:val="0"/>
          <w:numId w:val="7"/>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no exercise by the underwriters of their option to purchase additional shares of our common stock; and</w:t>
      </w:r>
    </w:p>
    <w:p>
      <w:pPr>
        <w:spacing w:after="0" w:line="117" w:lineRule="exact"/>
        <w:rPr>
          <w:rFonts w:ascii="Times New Roman" w:cs="Times New Roman" w:eastAsia="Times New Roman" w:hAnsi="Times New Roman"/>
          <w:sz w:val="18"/>
          <w:szCs w:val="18"/>
          <w:color w:val="596E80"/>
        </w:rPr>
      </w:pPr>
    </w:p>
    <w:p>
      <w:pPr>
        <w:ind w:left="1860" w:hanging="222"/>
        <w:spacing w:after="0"/>
        <w:tabs>
          <w:tab w:leader="none" w:pos="1860" w:val="left"/>
        </w:tabs>
        <w:numPr>
          <w:ilvl w:val="0"/>
          <w:numId w:val="7"/>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no exercise of the pre-funded warrants outstanding described above or offered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596E80"/>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596E80"/>
        </w:rPr>
        <w:t>RISK FACTORS</w:t>
      </w:r>
    </w:p>
    <w:p>
      <w:pPr>
        <w:spacing w:after="0" w:line="119" w:lineRule="exact"/>
        <w:rPr>
          <w:sz w:val="20"/>
          <w:szCs w:val="20"/>
          <w:color w:val="auto"/>
        </w:rPr>
      </w:pPr>
    </w:p>
    <w:p>
      <w:pPr>
        <w:ind w:left="1260" w:right="519"/>
        <w:spacing w:after="0" w:line="25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596E80"/>
        </w:rPr>
        <w:t xml:space="preserve">Investing in our securities involves a high degree of risk. Before making an investment decision, you should </w:t>
      </w:r>
      <w:hyperlink r:id="rId35">
        <w:r>
          <w:rPr>
            <w:rFonts w:ascii="Times New Roman" w:cs="Times New Roman" w:eastAsia="Times New Roman" w:hAnsi="Times New Roman"/>
            <w:sz w:val="18"/>
            <w:szCs w:val="18"/>
            <w:i w:val="1"/>
            <w:iCs w:val="1"/>
            <w:color w:val="596E80"/>
          </w:rPr>
          <w:t xml:space="preserve">carefully consider the risks described below and in our most recent </w:t>
        </w:r>
        <w:r>
          <w:rPr>
            <w:rFonts w:ascii="Times New Roman" w:cs="Times New Roman" w:eastAsia="Times New Roman" w:hAnsi="Times New Roman"/>
            <w:sz w:val="18"/>
            <w:szCs w:val="18"/>
            <w:i w:val="1"/>
            <w:iCs w:val="1"/>
            <w:u w:val="single" w:color="auto"/>
            <w:color w:val="0000EE"/>
          </w:rPr>
          <w:t>Annual Report on Form 10-K for the fiscal</w:t>
        </w:r>
      </w:hyperlink>
      <w:r>
        <w:rPr>
          <w:rFonts w:ascii="Times New Roman" w:cs="Times New Roman" w:eastAsia="Times New Roman" w:hAnsi="Times New Roman"/>
          <w:sz w:val="18"/>
          <w:szCs w:val="18"/>
          <w:i w:val="1"/>
          <w:iCs w:val="1"/>
          <w:color w:val="596E80"/>
        </w:rPr>
        <w:t xml:space="preserve"> </w:t>
      </w:r>
      <w:hyperlink r:id="rId35">
        <w:r>
          <w:rPr>
            <w:rFonts w:ascii="Times New Roman" w:cs="Times New Roman" w:eastAsia="Times New Roman" w:hAnsi="Times New Roman"/>
            <w:sz w:val="18"/>
            <w:szCs w:val="18"/>
            <w:i w:val="1"/>
            <w:iCs w:val="1"/>
            <w:u w:val="single" w:color="auto"/>
            <w:color w:val="0000EE"/>
          </w:rPr>
          <w:t>year ended December 31, 2023</w:t>
        </w:r>
        <w:r>
          <w:rPr>
            <w:rFonts w:ascii="Times New Roman" w:cs="Times New Roman" w:eastAsia="Times New Roman" w:hAnsi="Times New Roman"/>
            <w:sz w:val="18"/>
            <w:szCs w:val="18"/>
            <w:i w:val="1"/>
            <w:iCs w:val="1"/>
            <w:color w:val="596E80"/>
          </w:rPr>
          <w:t>, as well as any amendments thereto reflected in subsequent filings with the SEC,</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596E80"/>
        </w:rPr>
        <w:t>each of which are incorporated by reference in this prospectus supplement, and all of the other information in this prospectus supplement, including our financial statements and related notes incorporated by reference herein.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currently believe to be immaterial may also materially harm our business, financial condition, results of operations and prospects and could result in a complete loss of your investment.</w:t>
      </w:r>
    </w:p>
    <w:p>
      <w:pPr>
        <w:spacing w:after="0" w:line="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Risks Related to this Offering</w:t>
      </w:r>
    </w:p>
    <w:p>
      <w:pPr>
        <w:spacing w:after="0" w:line="117" w:lineRule="exact"/>
        <w:rPr>
          <w:sz w:val="20"/>
          <w:szCs w:val="20"/>
          <w:color w:val="auto"/>
        </w:rPr>
      </w:pPr>
    </w:p>
    <w:p>
      <w:pPr>
        <w:ind w:left="1260" w:right="779"/>
        <w:spacing w:after="0" w:line="317" w:lineRule="auto"/>
        <w:rPr>
          <w:sz w:val="20"/>
          <w:szCs w:val="20"/>
          <w:color w:val="auto"/>
        </w:rPr>
      </w:pPr>
      <w:r>
        <w:rPr>
          <w:rFonts w:ascii="Times New Roman" w:cs="Times New Roman" w:eastAsia="Times New Roman" w:hAnsi="Times New Roman"/>
          <w:sz w:val="17"/>
          <w:szCs w:val="17"/>
          <w:b w:val="1"/>
          <w:bCs w:val="1"/>
          <w:i w:val="1"/>
          <w:iCs w:val="1"/>
          <w:color w:val="596E80"/>
        </w:rPr>
        <w:t>We have broad discretion in the use of the net proceeds from this offering and may invest or spend the proceeds in ways with which you do not agree and in ways that may not yield a return on your investment.</w:t>
      </w:r>
    </w:p>
    <w:p>
      <w:pPr>
        <w:spacing w:after="0" w:line="28"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596E80"/>
        </w:rPr>
        <w:t>Our management will have broad discretion in the application of the net proceeds from this offering, including for any of the purposes described in the section titled “Use of Proceeds,” and you will be relying on the judgment of our management regarding such application. You will not have the opportunity, as part of your investment decision, to assess whether the proceeds are being used effectively. Our management might not apply the net proceeds in ways that ultimately increase the value of your investment. If we do not invest or apply the net proceeds from this offering in ways that enhance stockholder value, we may fail to achieve expected results, which could cause our stock price to decline. Pending their use, we may invest the net proceeds in a variety of capital preservation instruments, including short-term, investment- grade, interest-bearing instruments and U.S. government securities. These investments may not yield a favorable return to our stockholders.</w:t>
      </w:r>
    </w:p>
    <w:p>
      <w:pPr>
        <w:spacing w:after="0" w:line="76"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596E80"/>
        </w:rPr>
        <w:t>If you purchase our common stock in this offering, you will incur immediate and substantial dilution in the net tangible book value of your shares.</w:t>
      </w:r>
    </w:p>
    <w:p>
      <w:pPr>
        <w:spacing w:after="0" w:line="51" w:lineRule="exact"/>
        <w:rPr>
          <w:sz w:val="20"/>
          <w:szCs w:val="20"/>
          <w:color w:val="auto"/>
        </w:rPr>
      </w:pPr>
    </w:p>
    <w:p>
      <w:pPr>
        <w:ind w:left="1260" w:right="599"/>
        <w:spacing w:after="0" w:line="256" w:lineRule="auto"/>
        <w:rPr>
          <w:sz w:val="20"/>
          <w:szCs w:val="20"/>
          <w:color w:val="auto"/>
        </w:rPr>
      </w:pPr>
      <w:r>
        <w:rPr>
          <w:rFonts w:ascii="Times New Roman" w:cs="Times New Roman" w:eastAsia="Times New Roman" w:hAnsi="Times New Roman"/>
          <w:sz w:val="18"/>
          <w:szCs w:val="18"/>
          <w:color w:val="596E80"/>
        </w:rPr>
        <w:t>The offering price per share in this offering may exceed the net tangible book value per share of our common stock outstanding at the time of sale. With aggregate gross proceeds of approximately $200.0 million, after deducting underwriting discounts and commissions and estimated offering expenses payable by us, investors in this offering would experience immediate dilution of  $35.65 per share, representing the difference between our as adjusted net tangible book value per share as of December 31, 2023 of  $20.85, after giving effect to this offering, and the public offering price.</w:t>
      </w:r>
    </w:p>
    <w:p>
      <w:pPr>
        <w:spacing w:after="0" w:line="7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596E80"/>
        </w:rPr>
        <w:t>In addition, we have a significant number of stock options, pre-funded warrants and restricted stock units outstanding. The exercise of any of the outstanding options or pre-funded warrants or the vesting of the restricted stock units would result in further dilution. As a result of the dilution to investors purchasing shares in this offering, investors may receive significantly less than the purchase price paid in this offering, if anything, in the event of our liquidation. Further, because we expect we will need to raise additional capital to fund our future activities, we may in the future sell substantial amounts of common stock or securities convertible into or exchangeable for common stock.</w:t>
      </w:r>
    </w:p>
    <w:p>
      <w:pPr>
        <w:spacing w:after="0" w:line="81" w:lineRule="exact"/>
        <w:rPr>
          <w:sz w:val="20"/>
          <w:szCs w:val="20"/>
          <w:color w:val="auto"/>
        </w:rPr>
      </w:pPr>
    </w:p>
    <w:p>
      <w:pPr>
        <w:jc w:val="both"/>
        <w:ind w:left="1260" w:right="539"/>
        <w:spacing w:after="0" w:line="266" w:lineRule="auto"/>
        <w:rPr>
          <w:sz w:val="20"/>
          <w:szCs w:val="20"/>
          <w:color w:val="auto"/>
        </w:rPr>
      </w:pPr>
      <w:r>
        <w:rPr>
          <w:rFonts w:ascii="Times New Roman" w:cs="Times New Roman" w:eastAsia="Times New Roman" w:hAnsi="Times New Roman"/>
          <w:sz w:val="18"/>
          <w:szCs w:val="18"/>
          <w:color w:val="596E80"/>
        </w:rPr>
        <w:t>Future issuances of common stock or common stock-related securities, together with the exercise of outstanding stock options or warrants, if any, may result in further dilution. For a further description of the dilution that you will experience immediately after this offering, see the section titled “Dilution.”</w:t>
      </w:r>
    </w:p>
    <w:p>
      <w:pPr>
        <w:spacing w:after="0" w:line="64" w:lineRule="exact"/>
        <w:rPr>
          <w:sz w:val="20"/>
          <w:szCs w:val="20"/>
          <w:color w:val="auto"/>
        </w:rPr>
      </w:pPr>
    </w:p>
    <w:p>
      <w:pPr>
        <w:ind w:left="12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596E8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7" w:lineRule="exact"/>
        <w:rPr>
          <w:sz w:val="20"/>
          <w:szCs w:val="20"/>
          <w:color w:val="auto"/>
        </w:rPr>
      </w:pPr>
    </w:p>
    <w:p>
      <w:pPr>
        <w:ind w:left="1260" w:right="959"/>
        <w:spacing w:after="0" w:line="281" w:lineRule="auto"/>
        <w:rPr>
          <w:sz w:val="20"/>
          <w:szCs w:val="20"/>
          <w:color w:val="auto"/>
        </w:rPr>
      </w:pPr>
      <w:r>
        <w:rPr>
          <w:rFonts w:ascii="Times New Roman" w:cs="Times New Roman" w:eastAsia="Times New Roman" w:hAnsi="Times New Roman"/>
          <w:sz w:val="17"/>
          <w:szCs w:val="17"/>
          <w:color w:val="596E80"/>
        </w:rPr>
        <w:t>Additional capital will be needed in the future to continue our planned operations. To the extent we issue additional equity securities to raise capital or pursuant to our equity incentive plans or other contractual obligations, our stockholders may experience substantial dilution. We may sell common stock, convertible securities or other equity securities in one or more transactions at prices and in a manner we determine</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596E80"/>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spacing w:after="0" w:line="266" w:lineRule="auto"/>
        <w:rPr>
          <w:sz w:val="20"/>
          <w:szCs w:val="20"/>
          <w:color w:val="auto"/>
        </w:rPr>
      </w:pPr>
      <w:r>
        <w:rPr>
          <w:rFonts w:ascii="Times New Roman" w:cs="Times New Roman" w:eastAsia="Times New Roman" w:hAnsi="Times New Roman"/>
          <w:sz w:val="18"/>
          <w:szCs w:val="18"/>
          <w:color w:val="596E80"/>
        </w:rPr>
        <w:t>from time to time. If we sell or issue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68"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596E80"/>
        </w:rPr>
        <w:t>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Significant portions of these shares are held by a relatively small number of stockholders. Sales by our stockholders of a substantial number of shares, or the expectation that such sales may occur, could significantly reduce the market price of our common stock.</w:t>
      </w:r>
    </w:p>
    <w:p>
      <w:pPr>
        <w:spacing w:after="0" w:line="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There is no public market for the pre-funded warrants being offered in this offering.</w:t>
      </w:r>
    </w:p>
    <w:p>
      <w:pPr>
        <w:spacing w:after="0" w:line="121"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596E80"/>
        </w:rPr>
        <w:t>There is no public trading market for the pre-funded warrants being offered in this offering, and we do not expect a market to develop. In addition, we do not intend to apply to list the pre-funded warrants on any securities exchange or nationally recognized trading system, including Nasdaq. Without an active market, the liquidity of the pre-funded warrants will be limited.</w:t>
      </w:r>
    </w:p>
    <w:p>
      <w:pPr>
        <w:spacing w:after="0" w:line="68" w:lineRule="exact"/>
        <w:rPr>
          <w:sz w:val="20"/>
          <w:szCs w:val="20"/>
          <w:color w:val="auto"/>
        </w:rPr>
      </w:pPr>
    </w:p>
    <w:p>
      <w:pPr>
        <w:ind w:left="1260" w:right="1139"/>
        <w:spacing w:after="0" w:line="286" w:lineRule="auto"/>
        <w:rPr>
          <w:sz w:val="20"/>
          <w:szCs w:val="20"/>
          <w:color w:val="auto"/>
        </w:rPr>
      </w:pPr>
      <w:r>
        <w:rPr>
          <w:rFonts w:ascii="Times New Roman" w:cs="Times New Roman" w:eastAsia="Times New Roman" w:hAnsi="Times New Roman"/>
          <w:sz w:val="18"/>
          <w:szCs w:val="18"/>
          <w:b w:val="1"/>
          <w:bCs w:val="1"/>
          <w:i w:val="1"/>
          <w:iCs w:val="1"/>
          <w:color w:val="596E80"/>
        </w:rPr>
        <w:t>We may not receive a significant amount or any additional funds upon the exercise of the pre-funded warrants.</w:t>
      </w:r>
    </w:p>
    <w:p>
      <w:pPr>
        <w:spacing w:after="0" w:line="51"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596E80"/>
        </w:rPr>
        <w:t>The pre-funded warrants are exercisable for $0.0001 per share of common stock underlying such pre-funded warrants or it may be exercised by way of a cashless exercise, meaning that the holders may not pay a cash purchase price upon exercise, but instead would receive upon such exercise the net number of shares of our common stock determined according to the formula set forth in the pre-funded warrants. Accordingly, we may not receive a significant amount or any additional funds upon the exercise of the pre-funded warrants.</w:t>
      </w:r>
    </w:p>
    <w:p>
      <w:pPr>
        <w:spacing w:after="0" w:line="71" w:lineRule="exact"/>
        <w:rPr>
          <w:sz w:val="20"/>
          <w:szCs w:val="20"/>
          <w:color w:val="auto"/>
        </w:rPr>
      </w:pPr>
    </w:p>
    <w:p>
      <w:pPr>
        <w:ind w:left="12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596E80"/>
        </w:rPr>
        <w:t>The holders of the pre-funded warrants purchased in this offering will have no rights as holders of our common stock with respect to the shares of common stock underlying such pre-funded warrants until such holders exercise the pre-funded warrants and acquire our common stock.</w:t>
      </w:r>
    </w:p>
    <w:p>
      <w:pPr>
        <w:spacing w:after="0" w:line="67"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596E80"/>
        </w:rPr>
        <w:t>Until a holder of our pre-funded warrants acquires shares of our common stock upon exercise of the pre-funded warrants, such holder of the pre-funded warrants will have no rights with respect to the shares of our common stock underlying such pre-funded warrants including with respect to dividends and voting rights. Upon exercise of the pre-funded warrants, such holder will be entitled to exercise the rights of a holder of our common stock with respect to the shares of common stock underlying such pre-funded warrants only as to matters for which the record date occurs after the exercise date.</w:t>
      </w:r>
    </w:p>
    <w:p>
      <w:pPr>
        <w:spacing w:after="0" w:line="75"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596E80"/>
        </w:rPr>
        <w:t>Significant holders or beneficial holders of our common stock may not be permitted to exercise the pre-funded warrants that they hold.</w:t>
      </w:r>
    </w:p>
    <w:p>
      <w:pPr>
        <w:spacing w:after="0" w:line="51"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596E80"/>
        </w:rPr>
        <w:t>A holder of the pre-funded warrants will not be entitled to exercise any portion of such pre-funded warrants which, upon giving effect to such exercise, would cause (i) the aggregate number of shares of our common stock beneficially owned by the holder (together with its affiliates) to exceed 4.99% (or 9.99%) of the number of shares of our common stock outstanding immediately after giving effect to the exercise, or (ii) the combined voting power of our securities beneficially owned by the holder (together with its affiliates) to exceed 4.99% (or 9.99%) of the combined voting power of all of our securities then outstanding immediately after giving effect to the exercise, as such percentage ownership is determined in accordance with the terms of the pre-funded warrants. Such percentage may be increased by the holder of the pre-funded warrants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596E80"/>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596E80"/>
        </w:rPr>
        <w:t>SPECIAL NOTE REGARDING FORWARD-LOOKING STATEMENTS</w:t>
      </w:r>
    </w:p>
    <w:p>
      <w:pPr>
        <w:spacing w:after="0" w:line="121"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596E80"/>
        </w:rPr>
        <w:t>This prospectus supplement, the accompanying base prospectus, the documents that we incorporate by reference herein or therein, and any related free writing prospectus contain forward-looking statements within the meaning of Section 27A of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supplement, the accompanying base prospectus and the documents incorporated by reference herein and therein, and in particular those factors referenced in the section “Risk Factors” in this prospectus supplement.</w:t>
      </w:r>
    </w:p>
    <w:p>
      <w:pPr>
        <w:spacing w:after="0" w:line="7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596E80"/>
        </w:rPr>
        <w:t>This prospectus supplement, the accompanying base prospectus and the documents incorporated by reference herein and therein contain forward-looking statements that are based on our management’s belief and assumptions and on information available to our management as of their respective dates. These statements relate to future events or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include, but are not limited to, statements about:</w:t>
      </w:r>
    </w:p>
    <w:p>
      <w:pPr>
        <w:spacing w:after="0" w:line="81" w:lineRule="exact"/>
        <w:rPr>
          <w:sz w:val="20"/>
          <w:szCs w:val="20"/>
          <w:color w:val="auto"/>
        </w:rPr>
      </w:pPr>
    </w:p>
    <w:p>
      <w:pPr>
        <w:ind w:left="1840" w:hanging="220"/>
        <w:spacing w:after="0"/>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success, cost and timing of our product candidate development activities and clinical trials;</w:t>
      </w:r>
    </w:p>
    <w:p>
      <w:pPr>
        <w:spacing w:after="0" w:line="130" w:lineRule="exact"/>
        <w:rPr>
          <w:rFonts w:ascii="Times New Roman" w:cs="Times New Roman" w:eastAsia="Times New Roman" w:hAnsi="Times New Roman"/>
          <w:sz w:val="18"/>
          <w:szCs w:val="18"/>
          <w:color w:val="596E80"/>
        </w:rPr>
      </w:pPr>
    </w:p>
    <w:p>
      <w:pPr>
        <w:ind w:left="1840" w:right="859" w:hanging="220"/>
        <w:spacing w:after="0" w:line="282" w:lineRule="auto"/>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our expectations regarding our ability to obtain and maintain intellectual property protection for our product candidates;</w:t>
      </w:r>
    </w:p>
    <w:p>
      <w:pPr>
        <w:spacing w:after="0" w:line="53" w:lineRule="exact"/>
        <w:rPr>
          <w:rFonts w:ascii="Times New Roman" w:cs="Times New Roman" w:eastAsia="Times New Roman" w:hAnsi="Times New Roman"/>
          <w:sz w:val="18"/>
          <w:szCs w:val="18"/>
          <w:color w:val="596E80"/>
        </w:rPr>
      </w:pPr>
    </w:p>
    <w:p>
      <w:pPr>
        <w:ind w:left="1840" w:right="559" w:hanging="220"/>
        <w:spacing w:after="0" w:line="282" w:lineRule="auto"/>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ability to license additional intellectual property relating to our product candidates from third parties and to comply with our existing license agreements and collaboration agreements;</w:t>
      </w:r>
    </w:p>
    <w:p>
      <w:pPr>
        <w:spacing w:after="0" w:line="53" w:lineRule="exact"/>
        <w:rPr>
          <w:rFonts w:ascii="Times New Roman" w:cs="Times New Roman" w:eastAsia="Times New Roman" w:hAnsi="Times New Roman"/>
          <w:sz w:val="18"/>
          <w:szCs w:val="18"/>
          <w:color w:val="596E80"/>
        </w:rPr>
      </w:pPr>
    </w:p>
    <w:p>
      <w:pPr>
        <w:ind w:left="1840" w:right="659" w:hanging="220"/>
        <w:spacing w:after="0" w:line="282" w:lineRule="auto"/>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ability and willingness of our third-party research institution collaborators to continue research and development activities relating to our product candidates;</w:t>
      </w:r>
    </w:p>
    <w:p>
      <w:pPr>
        <w:spacing w:after="0" w:line="53" w:lineRule="exact"/>
        <w:rPr>
          <w:rFonts w:ascii="Times New Roman" w:cs="Times New Roman" w:eastAsia="Times New Roman" w:hAnsi="Times New Roman"/>
          <w:sz w:val="18"/>
          <w:szCs w:val="18"/>
          <w:color w:val="596E80"/>
        </w:rPr>
      </w:pPr>
    </w:p>
    <w:p>
      <w:pPr>
        <w:ind w:left="1840" w:right="839" w:hanging="220"/>
        <w:spacing w:after="0" w:line="282" w:lineRule="auto"/>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our ability to commercialize our product candidates, if approved, in light of the intellectual property rights of others;</w:t>
      </w:r>
    </w:p>
    <w:p>
      <w:pPr>
        <w:spacing w:after="0" w:line="53" w:lineRule="exact"/>
        <w:rPr>
          <w:rFonts w:ascii="Times New Roman" w:cs="Times New Roman" w:eastAsia="Times New Roman" w:hAnsi="Times New Roman"/>
          <w:sz w:val="18"/>
          <w:szCs w:val="18"/>
          <w:color w:val="596E80"/>
        </w:rPr>
      </w:pPr>
    </w:p>
    <w:p>
      <w:pPr>
        <w:ind w:left="1840" w:right="1139" w:hanging="220"/>
        <w:spacing w:after="0" w:line="282" w:lineRule="auto"/>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our ability to obtain funding for our operations, including funding necessary to complete further development and, if approved, commercialization of our product candidates;</w:t>
      </w:r>
    </w:p>
    <w:p>
      <w:pPr>
        <w:spacing w:after="0" w:line="53"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commercialization of our product candidates, if approved;</w:t>
      </w:r>
    </w:p>
    <w:p>
      <w:pPr>
        <w:spacing w:after="0" w:line="117"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our plans to research, develop and, if approved, commercialize our product candidates;</w:t>
      </w:r>
    </w:p>
    <w:p>
      <w:pPr>
        <w:spacing w:after="0" w:line="117" w:lineRule="exact"/>
        <w:rPr>
          <w:rFonts w:ascii="Times New Roman" w:cs="Times New Roman" w:eastAsia="Times New Roman" w:hAnsi="Times New Roman"/>
          <w:sz w:val="18"/>
          <w:szCs w:val="18"/>
          <w:color w:val="596E80"/>
        </w:rPr>
      </w:pPr>
    </w:p>
    <w:p>
      <w:pPr>
        <w:ind w:left="1840" w:right="519" w:hanging="220"/>
        <w:spacing w:after="0" w:line="282" w:lineRule="auto"/>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future agreements with third parties in connection with the commercialization of our product candidates, if approved, and any other approved product;</w:t>
      </w:r>
    </w:p>
    <w:p>
      <w:pPr>
        <w:spacing w:after="0" w:line="67" w:lineRule="exact"/>
        <w:rPr>
          <w:rFonts w:ascii="Times New Roman" w:cs="Times New Roman" w:eastAsia="Times New Roman" w:hAnsi="Times New Roman"/>
          <w:sz w:val="18"/>
          <w:szCs w:val="18"/>
          <w:color w:val="596E80"/>
        </w:rPr>
      </w:pPr>
    </w:p>
    <w:p>
      <w:pPr>
        <w:ind w:left="1840" w:right="779" w:hanging="220"/>
        <w:spacing w:after="0" w:line="282" w:lineRule="auto"/>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size and growth potential of the markets for our product candidates, and our ability to serve those markets;</w:t>
      </w:r>
    </w:p>
    <w:p>
      <w:pPr>
        <w:spacing w:after="0" w:line="53"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rate and degree of market acceptance of our product candidates, if approved;</w:t>
      </w:r>
    </w:p>
    <w:p>
      <w:pPr>
        <w:spacing w:after="0" w:line="117"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pricing and reimbursement of our product candidates, if approved;</w:t>
      </w:r>
    </w:p>
    <w:p>
      <w:pPr>
        <w:spacing w:after="0" w:line="117"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regulatory developments in the United States and foreign countries;</w:t>
      </w:r>
    </w:p>
    <w:p>
      <w:pPr>
        <w:spacing w:after="0" w:line="117" w:lineRule="exact"/>
        <w:rPr>
          <w:rFonts w:ascii="Times New Roman" w:cs="Times New Roman" w:eastAsia="Times New Roman" w:hAnsi="Times New Roman"/>
          <w:sz w:val="18"/>
          <w:szCs w:val="18"/>
          <w:color w:val="596E80"/>
        </w:rPr>
      </w:pPr>
    </w:p>
    <w:p>
      <w:pPr>
        <w:ind w:left="1840" w:right="1239" w:hanging="220"/>
        <w:spacing w:after="0" w:line="282" w:lineRule="auto"/>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our ability to contract with third-party suppliers and manufacturers and their ability to perform adequately;</w:t>
      </w:r>
    </w:p>
    <w:p>
      <w:pPr>
        <w:spacing w:after="0" w:line="53"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success of competing therapies that are or may become available;</w:t>
      </w:r>
    </w:p>
    <w:p>
      <w:pPr>
        <w:spacing w:after="0" w:line="117"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our ability to attract and retain key scientific or management personnel;</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596E80"/>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40" w:right="819" w:hanging="220"/>
        <w:spacing w:after="0" w:line="282" w:lineRule="auto"/>
        <w:tabs>
          <w:tab w:leader="none" w:pos="1840" w:val="left"/>
        </w:tabs>
        <w:numPr>
          <w:ilvl w:val="0"/>
          <w:numId w:val="9"/>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accuracy of our estimates regarding expenses, future revenue, capital requirements and needs for additional financing; and</w:t>
      </w:r>
    </w:p>
    <w:p>
      <w:pPr>
        <w:spacing w:after="0" w:line="53" w:lineRule="exact"/>
        <w:rPr>
          <w:rFonts w:ascii="Times New Roman" w:cs="Times New Roman" w:eastAsia="Times New Roman" w:hAnsi="Times New Roman"/>
          <w:sz w:val="18"/>
          <w:szCs w:val="18"/>
          <w:color w:val="596E80"/>
        </w:rPr>
      </w:pPr>
    </w:p>
    <w:p>
      <w:pPr>
        <w:ind w:left="1840" w:right="819" w:hanging="220"/>
        <w:spacing w:after="0" w:line="312" w:lineRule="auto"/>
        <w:tabs>
          <w:tab w:leader="none" w:pos="1840" w:val="left"/>
        </w:tabs>
        <w:numPr>
          <w:ilvl w:val="0"/>
          <w:numId w:val="9"/>
        </w:numPr>
        <w:rPr>
          <w:rFonts w:ascii="Times New Roman" w:cs="Times New Roman" w:eastAsia="Times New Roman" w:hAnsi="Times New Roman"/>
          <w:sz w:val="17"/>
          <w:szCs w:val="17"/>
          <w:color w:val="596E80"/>
        </w:rPr>
      </w:pPr>
      <w:r>
        <w:rPr>
          <w:rFonts w:ascii="Times New Roman" w:cs="Times New Roman" w:eastAsia="Times New Roman" w:hAnsi="Times New Roman"/>
          <w:sz w:val="17"/>
          <w:szCs w:val="17"/>
          <w:color w:val="596E80"/>
        </w:rPr>
        <w:t>our intended use of proceeds for this offering and the sufficiency of those proceeds with our existing cash, cash equivalents and marketable securities to fund our operations for the periods described.</w:t>
      </w:r>
    </w:p>
    <w:p>
      <w:pPr>
        <w:spacing w:after="0" w:line="32"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596E80"/>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for the period ended December 31, 2023, and the section in this prospectus supplement titled “Risk Factors.”</w:t>
      </w:r>
    </w:p>
    <w:p>
      <w:pPr>
        <w:spacing w:after="0" w:line="79"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596E80"/>
        </w:rPr>
        <w:t>The forward-looking statements in this prospectus supplement, the accompanying base prospectus and the documents incorporated by reference herein and therein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dates on which they were made.</w:t>
      </w:r>
    </w:p>
    <w:p>
      <w:pPr>
        <w:spacing w:after="0" w:line="81"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596E80"/>
        </w:rPr>
        <w:t>This prospectus supplement, the accompanying base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596E80"/>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596E80"/>
        </w:rPr>
        <w:t>USE OF PROCEEDS</w:t>
      </w:r>
    </w:p>
    <w:p>
      <w:pPr>
        <w:spacing w:after="0" w:line="121"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596E80"/>
        </w:rPr>
        <w:t>We estimate that the net proceeds from the sale of 3,318,585 shares of our common stock and pre-funded warrants to purchase 221,238 shares of our common stock in this offering, after deducting the underwriting discounts and commissions and estimated offering expenses payable by us, will be approximately $187.4 million, or approximately $215.6 million, if the underwriters exercise their option to purchase additional shares in full. We will receive nominal proceeds, if any, upon exercise of the pre-funded warrants.</w:t>
      </w:r>
    </w:p>
    <w:p>
      <w:pPr>
        <w:spacing w:after="0" w:line="75" w:lineRule="exact"/>
        <w:rPr>
          <w:sz w:val="20"/>
          <w:szCs w:val="20"/>
          <w:color w:val="auto"/>
        </w:rPr>
      </w:pPr>
    </w:p>
    <w:p>
      <w:pPr>
        <w:ind w:left="1260" w:right="599"/>
        <w:spacing w:after="0" w:line="261" w:lineRule="auto"/>
        <w:rPr>
          <w:sz w:val="20"/>
          <w:szCs w:val="20"/>
          <w:color w:val="auto"/>
        </w:rPr>
      </w:pPr>
      <w:r>
        <w:rPr>
          <w:rFonts w:ascii="Times New Roman" w:cs="Times New Roman" w:eastAsia="Times New Roman" w:hAnsi="Times New Roman"/>
          <w:sz w:val="18"/>
          <w:szCs w:val="18"/>
          <w:color w:val="596E80"/>
        </w:rPr>
        <w:t>We currently intend to use the net proceeds from this offering, together with our existing cash, cash equivalents and marketable securities, to accelerate the clinical development of PRAX-628, continue our research and development activities in ulixacaltamide, PRAX-562 and PRAX-222 and for working capital and other general corporate purposes.</w:t>
      </w:r>
    </w:p>
    <w:p>
      <w:pPr>
        <w:spacing w:after="0" w:line="72"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596E80"/>
        </w:rPr>
        <w:t>Based on the planned use of proceeds described above, we believe that the net proceeds from this offering, together with our existing cash, cash equivalents and marketable securities, will be sufficient to enable us to fund our operating expenses and capital expenditure requirements into 2027. We have based this estimate on assumptions that may prove to be incorrect. We could use our available capital resources sooner than we currently expect.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w:t>
      </w:r>
    </w:p>
    <w:p>
      <w:pPr>
        <w:spacing w:after="0" w:line="81"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596E80"/>
        </w:rPr>
        <w:t>The expected use of the net proceeds from this offering, if any,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prospectus supplement, the accompanying base prospectus and in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may invest the net proceeds in a variety of capital preservation instruments, including short-term, investment-grade, interest-bearing instruments and U.S.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596E80"/>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596E80"/>
        </w:rPr>
        <w:t>DIVIDEND POLICY</w:t>
      </w:r>
    </w:p>
    <w:p>
      <w:pPr>
        <w:spacing w:after="0" w:line="121"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596E80"/>
        </w:rPr>
        <w:t>We have never declared or paid cash dividends on our capital stock. We intend to retain all available funds and any future earnings to fund the growth and development of our business. We do not intend to pay cash dividends to our stockholders in the foreseeable future. In addition, any future financing instruments could preclude us from paying dividends. Any future determination to pay dividends will be made at the discretion of our board of directors subject to applicable laws, and will depend upon, among other factors, our results of operations, financial condition, contractual restrictions and capital requirements. Investors should not purchase our common stock with the expectation of receiving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596E80"/>
        </w:rPr>
        <w:t>DILUTION</w:t>
      </w:r>
    </w:p>
    <w:p>
      <w:pPr>
        <w:spacing w:after="0" w:line="121"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596E80"/>
        </w:rPr>
        <w:t>If you invest in our common stock in this offering, your ownership interest will be diluted to the extent of the difference between the public offering price per share of our common stock in this offering and the as adjusted net tangible book value per share of our common stock immediately after this offering. Our net tangible book value as of December 31, 2023 was approximately $69.7 million, or approximately $7.92 per share of common stock. Net tangible book value per share represents the amount of total tangible assets (total assets less intangible assets) less total liabilities, divided by the number of shares of our common stock outstanding as of December 31, 2023.</w:t>
      </w:r>
    </w:p>
    <w:p>
      <w:pPr>
        <w:spacing w:after="0" w:line="87"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596E80"/>
        </w:rPr>
        <w:t>After giving effect to our issuance and sale of 3,318,585 shares of common stock in this offering at a public offering price of  $56.50 per share and pre-funded warrants to purchase 221,238 shares of our common stock at a public offering price of  $56.4999, and after deducting the underwriting discounts and commissions and estimated offering expenses payable by us, our as adjusted net tangible book value as of December 31, 2023 would have been $257.1 million, or $20.85 per share. This represents an immediate increase in as adjusted net tangible book value per share of  $12.93 to existing stockholders and immediate dilution of  $35.65 in as adjusted net tangible book value per share to new investors purchasing common stock in this offering. Dilution per share to new investors is determined by subtracting as adjusted net tangible book value per share after this offering from the public offering price per share paid by new investors. The following table illustrates this per share dilution to the new investors purchasing shares of common stock in this offering without giving effect to the option to purchase additional shares granted to the underwriter:</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596E80"/>
              </w:rPr>
              <w:t>​Public offering price per share</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596E80"/>
              </w:rPr>
              <w:t>​ ​​ ​</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596E80"/>
              </w:rPr>
              <w:t>​​ ​​$</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w w:val="93"/>
              </w:rPr>
              <w:t>56.50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596E80"/>
              </w:rPr>
              <w:t>​</w:t>
            </w:r>
          </w:p>
        </w:tc>
        <w:tc>
          <w:tcPr>
            <w:tcW w:w="0" w:type="dxa"/>
            <w:vAlign w:val="bottom"/>
          </w:tcPr>
          <w:p>
            <w:pPr>
              <w:spacing w:after="0"/>
              <w:rPr>
                <w:sz w:val="1"/>
                <w:szCs w:val="1"/>
                <w:color w:val="auto"/>
              </w:rPr>
            </w:pPr>
          </w:p>
        </w:tc>
      </w:tr>
      <w:tr>
        <w:trPr>
          <w:trHeight w:val="203"/>
        </w:trPr>
        <w:tc>
          <w:tcPr>
            <w:tcW w:w="6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596E80"/>
              </w:rPr>
              <w:t>Net tangible book value per share as of December 31, 2023</w:t>
            </w:r>
          </w:p>
        </w:tc>
        <w:tc>
          <w:tcPr>
            <w:tcW w:w="600" w:type="dxa"/>
            <w:vAlign w:val="bottom"/>
          </w:tcPr>
          <w:p>
            <w:pPr>
              <w:ind w:left="500"/>
              <w:spacing w:after="0" w:line="202" w:lineRule="exact"/>
              <w:rPr>
                <w:sz w:val="20"/>
                <w:szCs w:val="20"/>
                <w:color w:val="auto"/>
              </w:rPr>
            </w:pPr>
            <w:r>
              <w:rPr>
                <w:rFonts w:ascii="Times New Roman" w:cs="Times New Roman" w:eastAsia="Times New Roman" w:hAnsi="Times New Roman"/>
                <w:sz w:val="18"/>
                <w:szCs w:val="18"/>
                <w:color w:val="596E80"/>
                <w:w w:val="88"/>
              </w:rPr>
              <w:t>$</w:t>
            </w:r>
          </w:p>
        </w:tc>
        <w:tc>
          <w:tcPr>
            <w:tcW w:w="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596E80"/>
              </w:rPr>
              <w:t>7.92</w:t>
            </w:r>
          </w:p>
        </w:tc>
        <w:tc>
          <w:tcPr>
            <w:tcW w:w="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596E80"/>
              </w:rPr>
              <w:t>​​ ​​ ​</w:t>
            </w:r>
          </w:p>
        </w:tc>
        <w:tc>
          <w:tcPr>
            <w:tcW w:w="40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596E80"/>
              </w:rPr>
              <w:t>​</w:t>
            </w:r>
          </w:p>
        </w:tc>
        <w:tc>
          <w:tcPr>
            <w:tcW w:w="0" w:type="dxa"/>
            <w:vAlign w:val="bottom"/>
          </w:tcPr>
          <w:p>
            <w:pPr>
              <w:spacing w:after="0"/>
              <w:rPr>
                <w:sz w:val="1"/>
                <w:szCs w:val="1"/>
                <w:color w:val="auto"/>
              </w:rPr>
            </w:pPr>
          </w:p>
        </w:tc>
      </w:tr>
      <w:tr>
        <w:trPr>
          <w:trHeight w:val="54"/>
        </w:trPr>
        <w:tc>
          <w:tcPr>
            <w:tcW w:w="6380" w:type="dxa"/>
            <w:vAlign w:val="bottom"/>
          </w:tcPr>
          <w:p>
            <w:pPr>
              <w:spacing w:after="0" w:line="54" w:lineRule="exact"/>
              <w:rPr>
                <w:sz w:val="20"/>
                <w:szCs w:val="20"/>
                <w:color w:val="auto"/>
              </w:rPr>
            </w:pPr>
            <w:r>
              <w:rPr>
                <w:rFonts w:ascii="Times New Roman" w:cs="Times New Roman" w:eastAsia="Times New Roman" w:hAnsi="Times New Roman"/>
                <w:sz w:val="6"/>
                <w:szCs w:val="6"/>
                <w:color w:val="596E80"/>
              </w:rPr>
              <w:t>​</w:t>
            </w:r>
          </w:p>
        </w:tc>
        <w:tc>
          <w:tcPr>
            <w:tcW w:w="600" w:type="dxa"/>
            <w:vAlign w:val="bottom"/>
          </w:tcPr>
          <w:p>
            <w:pPr>
              <w:ind w:left="340"/>
              <w:spacing w:after="0" w:line="54" w:lineRule="exact"/>
              <w:rPr>
                <w:sz w:val="20"/>
                <w:szCs w:val="20"/>
                <w:color w:val="auto"/>
              </w:rPr>
            </w:pPr>
            <w:r>
              <w:rPr>
                <w:rFonts w:ascii="Times New Roman" w:cs="Times New Roman" w:eastAsia="Times New Roman" w:hAnsi="Times New Roman"/>
                <w:sz w:val="6"/>
                <w:szCs w:val="6"/>
                <w:color w:val="596E80"/>
              </w:rPr>
              <w:t>​ ​​</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596E80"/>
              </w:rPr>
              <w:t>Increase in as adjusted net tangible book value per share attributable to this offering</w:t>
            </w:r>
          </w:p>
        </w:tc>
        <w:tc>
          <w:tcPr>
            <w:tcW w:w="6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596E80"/>
              </w:rPr>
              <w:t>​ ​​</w:t>
            </w:r>
          </w:p>
        </w:tc>
        <w:tc>
          <w:tcPr>
            <w:tcW w:w="4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596E80"/>
              </w:rPr>
              <w:t>​12.93</w:t>
            </w:r>
          </w:p>
        </w:tc>
        <w:tc>
          <w:tcPr>
            <w:tcW w:w="3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596E80"/>
              </w:rPr>
              <w:t>​​ ​​ ​</w:t>
            </w:r>
          </w:p>
        </w:tc>
        <w:tc>
          <w:tcPr>
            <w:tcW w:w="40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596E80"/>
              </w:rPr>
              <w:t>​</w:t>
            </w:r>
          </w:p>
        </w:tc>
        <w:tc>
          <w:tcPr>
            <w:tcW w:w="0" w:type="dxa"/>
            <w:vAlign w:val="bottom"/>
          </w:tcPr>
          <w:p>
            <w:pPr>
              <w:spacing w:after="0"/>
              <w:rPr>
                <w:sz w:val="1"/>
                <w:szCs w:val="1"/>
                <w:color w:val="auto"/>
              </w:rPr>
            </w:pPr>
          </w:p>
        </w:tc>
      </w:tr>
      <w:tr>
        <w:trPr>
          <w:trHeight w:val="54"/>
        </w:trPr>
        <w:tc>
          <w:tcPr>
            <w:tcW w:w="63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596E80"/>
              </w:rPr>
              <w:t>​</w:t>
            </w:r>
          </w:p>
        </w:tc>
        <w:tc>
          <w:tcPr>
            <w:tcW w:w="6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80" w:type="dxa"/>
            <w:vAlign w:val="bottom"/>
            <w:gridSpan w:val="3"/>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596E80"/>
              </w:rPr>
              <w:t>As adjusted net tangible book value per share after this offering</w:t>
            </w: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596E80"/>
              </w:rPr>
              <w:t>​ ​​ ​</w:t>
            </w:r>
          </w:p>
        </w:tc>
        <w:tc>
          <w:tcPr>
            <w:tcW w:w="360" w:type="dxa"/>
            <w:vAlign w:val="bottom"/>
          </w:tcPr>
          <w:p>
            <w:pPr>
              <w:spacing w:after="0"/>
              <w:rPr>
                <w:sz w:val="17"/>
                <w:szCs w:val="17"/>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596E80"/>
              </w:rPr>
              <w:t>​​ ​​</w:t>
            </w:r>
          </w:p>
        </w:tc>
        <w:tc>
          <w:tcPr>
            <w:tcW w:w="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596E80"/>
              </w:rPr>
              <w:t>​20.85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596E80"/>
              </w:rPr>
              <w:t>​</w:t>
            </w:r>
          </w:p>
        </w:tc>
        <w:tc>
          <w:tcPr>
            <w:tcW w:w="0" w:type="dxa"/>
            <w:vAlign w:val="bottom"/>
          </w:tcPr>
          <w:p>
            <w:pPr>
              <w:spacing w:after="0"/>
              <w:rPr>
                <w:sz w:val="1"/>
                <w:szCs w:val="1"/>
                <w:color w:val="auto"/>
              </w:rPr>
            </w:pPr>
          </w:p>
        </w:tc>
      </w:tr>
      <w:tr>
        <w:trPr>
          <w:trHeight w:val="68"/>
        </w:trPr>
        <w:tc>
          <w:tcPr>
            <w:tcW w:w="6380" w:type="dxa"/>
            <w:vAlign w:val="bottom"/>
          </w:tcPr>
          <w:p>
            <w:pPr>
              <w:spacing w:after="0" w:line="68" w:lineRule="exact"/>
              <w:rPr>
                <w:sz w:val="20"/>
                <w:szCs w:val="20"/>
                <w:color w:val="auto"/>
              </w:rPr>
            </w:pPr>
            <w:r>
              <w:rPr>
                <w:rFonts w:ascii="Times New Roman" w:cs="Times New Roman" w:eastAsia="Times New Roman" w:hAnsi="Times New Roman"/>
                <w:sz w:val="7"/>
                <w:szCs w:val="7"/>
                <w:color w:val="596E80"/>
              </w:rPr>
              <w:t>​</w:t>
            </w: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596E80"/>
              </w:rPr>
              <w:t>Dilution per share to new investors participating in this offering</w:t>
            </w:r>
          </w:p>
        </w:tc>
        <w:tc>
          <w:tcPr>
            <w:tcW w:w="680" w:type="dxa"/>
            <w:vAlign w:val="bottom"/>
            <w:tcBorders>
              <w:top w:val="single" w:sz="8" w:color="CCEEFF"/>
            </w:tcBorders>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596E80"/>
              </w:rPr>
              <w:t>​ ​​ ​</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596E8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w w:val="88"/>
              </w:rPr>
              <w:t>$</w:t>
            </w:r>
          </w:p>
        </w:tc>
        <w:tc>
          <w:tcPr>
            <w:tcW w:w="60" w:type="dxa"/>
            <w:vAlign w:val="bottom"/>
            <w:tcBorders>
              <w:top w:val="single" w:sz="8" w:color="596E80"/>
            </w:tcBorders>
            <w:shd w:val="clear" w:color="auto" w:fill="CCEEFF"/>
          </w:tcPr>
          <w:p>
            <w:pPr>
              <w:spacing w:after="0"/>
              <w:rPr>
                <w:sz w:val="18"/>
                <w:szCs w:val="18"/>
                <w:color w:val="auto"/>
              </w:rPr>
            </w:pPr>
          </w:p>
        </w:tc>
        <w:tc>
          <w:tcPr>
            <w:tcW w:w="400" w:type="dxa"/>
            <w:vAlign w:val="bottom"/>
            <w:tcBorders>
              <w:top w:val="single" w:sz="8" w:color="596E8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w w:val="93"/>
              </w:rPr>
              <w:t>35.65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596E80"/>
              </w:rPr>
              <w:t>​</w:t>
            </w:r>
          </w:p>
        </w:tc>
        <w:tc>
          <w:tcPr>
            <w:tcW w:w="0" w:type="dxa"/>
            <w:vAlign w:val="bottom"/>
          </w:tcPr>
          <w:p>
            <w:pPr>
              <w:spacing w:after="0"/>
              <w:rPr>
                <w:sz w:val="1"/>
                <w:szCs w:val="1"/>
                <w:color w:val="auto"/>
              </w:rPr>
            </w:pPr>
          </w:p>
        </w:tc>
      </w:tr>
      <w:tr>
        <w:trPr>
          <w:trHeight w:val="7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596E80"/>
              </w:rPr>
              <w:t>​</w:t>
            </w:r>
          </w:p>
        </w:tc>
        <w:tc>
          <w:tcPr>
            <w:tcW w:w="68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596E80"/>
              </w:rPr>
              <w:t>​</w:t>
            </w:r>
            <w:r>
              <w:rPr>
                <w:rFonts w:ascii="Times New Roman" w:cs="Times New Roman" w:eastAsia="Times New Roman" w:hAnsi="Times New Roman"/>
                <w:sz w:val="3"/>
                <w:szCs w:val="3"/>
                <w:color w:val="596E80"/>
              </w:rPr>
              <w:t>​ ​​</w:t>
            </w:r>
          </w:p>
        </w:tc>
        <w:tc>
          <w:tcPr>
            <w:tcW w:w="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596E80"/>
              <w:bottom w:val="single" w:sz="8" w:color="596E80"/>
            </w:tcBorders>
          </w:tcPr>
          <w:p>
            <w:pPr>
              <w:spacing w:after="0" w:line="20" w:lineRule="exact"/>
              <w:rPr>
                <w:sz w:val="1"/>
                <w:szCs w:val="1"/>
                <w:color w:val="auto"/>
              </w:rPr>
            </w:pPr>
          </w:p>
        </w:tc>
        <w:tc>
          <w:tcPr>
            <w:tcW w:w="60" w:type="dxa"/>
            <w:vAlign w:val="bottom"/>
            <w:tcBorders>
              <w:top w:val="single" w:sz="8" w:color="596E80"/>
              <w:bottom w:val="single" w:sz="8" w:color="596E80"/>
            </w:tcBorders>
          </w:tcPr>
          <w:p>
            <w:pPr>
              <w:spacing w:after="0" w:line="20" w:lineRule="exact"/>
              <w:rPr>
                <w:sz w:val="1"/>
                <w:szCs w:val="1"/>
                <w:color w:val="auto"/>
              </w:rPr>
            </w:pPr>
          </w:p>
        </w:tc>
        <w:tc>
          <w:tcPr>
            <w:tcW w:w="400" w:type="dxa"/>
            <w:vAlign w:val="bottom"/>
            <w:tcBorders>
              <w:top w:val="single" w:sz="8" w:color="596E80"/>
              <w:bottom w:val="single" w:sz="8" w:color="596E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-213360</wp:posOffset>
            </wp:positionV>
            <wp:extent cx="4852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151"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596E80"/>
        </w:rPr>
        <w:t>If the underwriters exercise their option to purchase additional shares in full at the public offering price of  $56.50 per share, the as adjusted net tangible book value will increase to $22.18 per share, representing an immediate increase to existing stockholders of  $14.26 per share and an immediate dilution of  $34.32 per share to new investors.</w:t>
      </w:r>
    </w:p>
    <w:p>
      <w:pPr>
        <w:spacing w:after="0" w:line="6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596E80"/>
        </w:rPr>
        <w:t>The above discussion and table are based on 8,791,877 shares of common stock outstanding as of December 31, 2023 and excludes:</w:t>
      </w:r>
    </w:p>
    <w:p>
      <w:pPr>
        <w:spacing w:after="0" w:line="27" w:lineRule="exact"/>
        <w:rPr>
          <w:sz w:val="20"/>
          <w:szCs w:val="20"/>
          <w:color w:val="auto"/>
        </w:rPr>
      </w:pPr>
    </w:p>
    <w:p>
      <w:pPr>
        <w:ind w:left="1840" w:right="519" w:hanging="220"/>
        <w:spacing w:after="0" w:line="266" w:lineRule="auto"/>
        <w:tabs>
          <w:tab w:leader="none" w:pos="1840" w:val="left"/>
        </w:tabs>
        <w:numPr>
          <w:ilvl w:val="0"/>
          <w:numId w:val="10"/>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666,163 shares of our common stock issuable upon the exercise of stock options outstanding as of December 31, 2023 under our 2017 Stock Incentive Plan and 2020 Stock Option and Incentive Plan, at a weighted average exercise price of  $160.19 per share;</w:t>
      </w:r>
    </w:p>
    <w:p>
      <w:pPr>
        <w:spacing w:after="0" w:line="67" w:lineRule="exact"/>
        <w:rPr>
          <w:rFonts w:ascii="Times New Roman" w:cs="Times New Roman" w:eastAsia="Times New Roman" w:hAnsi="Times New Roman"/>
          <w:sz w:val="18"/>
          <w:szCs w:val="18"/>
          <w:color w:val="596E80"/>
        </w:rPr>
      </w:pPr>
    </w:p>
    <w:p>
      <w:pPr>
        <w:ind w:left="1840" w:right="899" w:hanging="220"/>
        <w:spacing w:after="0" w:line="282" w:lineRule="auto"/>
        <w:tabs>
          <w:tab w:leader="none" w:pos="1840" w:val="left"/>
        </w:tabs>
        <w:numPr>
          <w:ilvl w:val="0"/>
          <w:numId w:val="10"/>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148,264 shares of our common stock reserved for future issuance under our 2020 Stock Option and Incentive Plan as of December 31, 2023;</w:t>
      </w:r>
    </w:p>
    <w:p>
      <w:pPr>
        <w:spacing w:after="0" w:line="40" w:lineRule="exact"/>
        <w:rPr>
          <w:rFonts w:ascii="Times New Roman" w:cs="Times New Roman" w:eastAsia="Times New Roman" w:hAnsi="Times New Roman"/>
          <w:sz w:val="18"/>
          <w:szCs w:val="18"/>
          <w:color w:val="596E80"/>
        </w:rPr>
      </w:pPr>
    </w:p>
    <w:p>
      <w:pPr>
        <w:ind w:left="1840" w:right="1079" w:hanging="220"/>
        <w:spacing w:after="0" w:line="282" w:lineRule="auto"/>
        <w:tabs>
          <w:tab w:leader="none" w:pos="1840" w:val="left"/>
        </w:tabs>
        <w:numPr>
          <w:ilvl w:val="0"/>
          <w:numId w:val="10"/>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53,111 shares of our common stock reserved for future issuance under our 2020 Employee Stock Purchase Plan as of December 31, 2023;</w:t>
      </w:r>
    </w:p>
    <w:p>
      <w:pPr>
        <w:spacing w:after="0" w:line="53" w:lineRule="exact"/>
        <w:rPr>
          <w:rFonts w:ascii="Times New Roman" w:cs="Times New Roman" w:eastAsia="Times New Roman" w:hAnsi="Times New Roman"/>
          <w:sz w:val="18"/>
          <w:szCs w:val="18"/>
          <w:color w:val="596E80"/>
        </w:rPr>
      </w:pPr>
    </w:p>
    <w:p>
      <w:pPr>
        <w:ind w:left="1840" w:right="879" w:hanging="220"/>
        <w:spacing w:after="0" w:line="282" w:lineRule="auto"/>
        <w:tabs>
          <w:tab w:leader="none" w:pos="1840" w:val="left"/>
        </w:tabs>
        <w:numPr>
          <w:ilvl w:val="0"/>
          <w:numId w:val="10"/>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47,145 shares of our common stock issuable upon vesting of restricted stock units outstanding as of December 31, 2023;</w:t>
      </w:r>
    </w:p>
    <w:p>
      <w:pPr>
        <w:spacing w:after="0" w:line="40" w:lineRule="exact"/>
        <w:rPr>
          <w:rFonts w:ascii="Times New Roman" w:cs="Times New Roman" w:eastAsia="Times New Roman" w:hAnsi="Times New Roman"/>
          <w:sz w:val="18"/>
          <w:szCs w:val="18"/>
          <w:color w:val="596E80"/>
        </w:rPr>
      </w:pPr>
    </w:p>
    <w:p>
      <w:pPr>
        <w:ind w:left="1840" w:right="479" w:hanging="220"/>
        <w:spacing w:after="0" w:line="282" w:lineRule="auto"/>
        <w:tabs>
          <w:tab w:leader="none" w:pos="1840" w:val="left"/>
        </w:tabs>
        <w:numPr>
          <w:ilvl w:val="0"/>
          <w:numId w:val="10"/>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470,000 shares of our common stock issuable upon the exercise of pre-funded warrants outstanding as of December 31, 2023, at an exercise price of  $0.0015 per share;</w:t>
      </w:r>
    </w:p>
    <w:p>
      <w:pPr>
        <w:spacing w:after="0" w:line="53" w:lineRule="exact"/>
        <w:rPr>
          <w:rFonts w:ascii="Times New Roman" w:cs="Times New Roman" w:eastAsia="Times New Roman" w:hAnsi="Times New Roman"/>
          <w:sz w:val="18"/>
          <w:szCs w:val="18"/>
          <w:color w:val="596E80"/>
        </w:rPr>
      </w:pPr>
    </w:p>
    <w:p>
      <w:pPr>
        <w:ind w:left="1840" w:right="759" w:hanging="220"/>
        <w:spacing w:after="0" w:line="282" w:lineRule="auto"/>
        <w:tabs>
          <w:tab w:leader="none" w:pos="1840" w:val="left"/>
        </w:tabs>
        <w:numPr>
          <w:ilvl w:val="0"/>
          <w:numId w:val="10"/>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1,056,725 shares of our common stock issuable upon the exercise of pre-funded warrants issued after December 31, 2023, at an exercise price of  $0.0001 per share;</w:t>
      </w:r>
    </w:p>
    <w:p>
      <w:pPr>
        <w:spacing w:after="0" w:line="40" w:lineRule="exact"/>
        <w:rPr>
          <w:rFonts w:ascii="Times New Roman" w:cs="Times New Roman" w:eastAsia="Times New Roman" w:hAnsi="Times New Roman"/>
          <w:sz w:val="18"/>
          <w:szCs w:val="18"/>
          <w:color w:val="596E80"/>
        </w:rPr>
      </w:pPr>
    </w:p>
    <w:p>
      <w:pPr>
        <w:jc w:val="both"/>
        <w:ind w:left="1840" w:right="1379" w:hanging="220"/>
        <w:spacing w:after="0" w:line="312" w:lineRule="auto"/>
        <w:tabs>
          <w:tab w:leader="none" w:pos="1840" w:val="left"/>
        </w:tabs>
        <w:numPr>
          <w:ilvl w:val="0"/>
          <w:numId w:val="10"/>
        </w:numPr>
        <w:rPr>
          <w:rFonts w:ascii="Times New Roman" w:cs="Times New Roman" w:eastAsia="Times New Roman" w:hAnsi="Times New Roman"/>
          <w:sz w:val="17"/>
          <w:szCs w:val="17"/>
          <w:color w:val="596E80"/>
        </w:rPr>
      </w:pPr>
      <w:r>
        <w:rPr>
          <w:rFonts w:ascii="Times New Roman" w:cs="Times New Roman" w:eastAsia="Times New Roman" w:hAnsi="Times New Roman"/>
          <w:sz w:val="17"/>
          <w:szCs w:val="17"/>
          <w:color w:val="596E80"/>
        </w:rPr>
        <w:t>443,253 shares of our common stock issued after December 31, 2023 in connection with our collaboration and license agreement with Tenacia Biotechnology (Shanghai) Company, Ltd.;</w:t>
      </w:r>
    </w:p>
    <w:p>
      <w:pPr>
        <w:spacing w:after="0" w:line="31" w:lineRule="exact"/>
        <w:rPr>
          <w:rFonts w:ascii="Times New Roman" w:cs="Times New Roman" w:eastAsia="Times New Roman" w:hAnsi="Times New Roman"/>
          <w:sz w:val="17"/>
          <w:szCs w:val="17"/>
          <w:color w:val="596E80"/>
        </w:rPr>
      </w:pPr>
    </w:p>
    <w:p>
      <w:pPr>
        <w:ind w:left="1840" w:right="639" w:hanging="220"/>
        <w:spacing w:after="0" w:line="228" w:lineRule="auto"/>
        <w:tabs>
          <w:tab w:leader="none" w:pos="1840" w:val="left"/>
        </w:tabs>
        <w:numPr>
          <w:ilvl w:val="0"/>
          <w:numId w:val="10"/>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192,190 shares of our common stock issued after December 31, 2023 pursuant to an Open Market Sale Agreement</w:t>
      </w:r>
      <w:r>
        <w:rPr>
          <w:rFonts w:ascii="Times New Roman" w:cs="Times New Roman" w:eastAsia="Times New Roman" w:hAnsi="Times New Roman"/>
          <w:sz w:val="26"/>
          <w:szCs w:val="26"/>
          <w:color w:val="596E80"/>
          <w:vertAlign w:val="superscript"/>
        </w:rPr>
        <w:t>SM</w:t>
      </w:r>
      <w:r>
        <w:rPr>
          <w:rFonts w:ascii="Times New Roman" w:cs="Times New Roman" w:eastAsia="Times New Roman" w:hAnsi="Times New Roman"/>
          <w:sz w:val="18"/>
          <w:szCs w:val="18"/>
          <w:color w:val="596E80"/>
        </w:rPr>
        <w:t xml:space="preserve"> by and between the Company and Jefferies LLC, which was terminated on January 10, 2024;</w:t>
      </w: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40" w:hanging="220"/>
        <w:spacing w:after="0"/>
        <w:tabs>
          <w:tab w:leader="none" w:pos="1840" w:val="left"/>
        </w:tabs>
        <w:numPr>
          <w:ilvl w:val="0"/>
          <w:numId w:val="11"/>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3,802,025 shares of our common stock issued in a public offering in January 2024; and</w:t>
      </w:r>
    </w:p>
    <w:p>
      <w:pPr>
        <w:spacing w:after="0" w:line="117"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11"/>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17,662 shares of our common stock issued after December 31, 2023 pursuant to the Sales Agreement.</w:t>
      </w:r>
    </w:p>
    <w:p>
      <w:pPr>
        <w:spacing w:after="0" w:line="117"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596E80"/>
        </w:rPr>
        <w:t>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of our outstanding options are exercised, any of our restricted stock units vest, new options or restricted stock units are issued under our equity incentive plans, pre-funded warrants are exercised, or we issue additional shares of common stock or other equity or convertible debt securities in the future, there will be further dilution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596E80"/>
        </w:rPr>
        <w:t>DESCRIPTION OF PRE-FUNDED WARRANTS</w:t>
      </w:r>
    </w:p>
    <w:p>
      <w:pPr>
        <w:spacing w:after="0" w:line="121"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596E80"/>
        </w:rPr>
        <w:t>The following is a brief summary of certain terms and conditions of the pre-funded warrants being offered in this offering. The following description is subject in all respects to the provisions contained in the pre-funded warrants. This prospectus supplement also relates to the offering of the shares of our common stock issuable upon exercise of the pre-funded warrants.</w:t>
      </w:r>
    </w:p>
    <w:p>
      <w:pPr>
        <w:spacing w:after="0" w:line="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Form</w:t>
      </w:r>
    </w:p>
    <w:p>
      <w:pPr>
        <w:spacing w:after="0" w:line="121" w:lineRule="exact"/>
        <w:rPr>
          <w:sz w:val="20"/>
          <w:szCs w:val="20"/>
          <w:color w:val="auto"/>
        </w:rPr>
      </w:pPr>
    </w:p>
    <w:p>
      <w:pPr>
        <w:ind w:left="1260" w:right="819"/>
        <w:spacing w:after="0" w:line="250" w:lineRule="auto"/>
        <w:rPr>
          <w:sz w:val="20"/>
          <w:szCs w:val="20"/>
          <w:color w:val="auto"/>
        </w:rPr>
      </w:pPr>
      <w:r>
        <w:rPr>
          <w:rFonts w:ascii="Times New Roman" w:cs="Times New Roman" w:eastAsia="Times New Roman" w:hAnsi="Times New Roman"/>
          <w:sz w:val="18"/>
          <w:szCs w:val="18"/>
          <w:color w:val="596E80"/>
        </w:rPr>
        <w:t>The pre-funded warrants will be issued as individual warrant agreements to the purchasers. The form of pre-funded warrants will be filed as an exhibit to a Current Report on Form 8-K that we expect to file with the Securities and Exchange Commission.</w:t>
      </w:r>
    </w:p>
    <w:p>
      <w:pPr>
        <w:spacing w:after="0" w:line="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Term</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596E80"/>
        </w:rPr>
        <w:t>The pre-funded warrants will expire on the date the warrants are exercised in full.</w:t>
      </w:r>
    </w:p>
    <w:p>
      <w:pPr>
        <w:spacing w:after="0" w:line="1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Exercisability</w:t>
      </w:r>
    </w:p>
    <w:p>
      <w:pPr>
        <w:spacing w:after="0" w:line="121"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596E80"/>
        </w:rPr>
        <w:t>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in its sole discretion, elect to exercise the pre-funded warrants through a cashless exercise, in which the holder would receive upon such exercise the net number of shares of our common stock determined according to the formula set forth in the pre-funded warrants. No fractional shares of our common stock will be issued in connection with the exercise of a pre-funded warrants. In lieu of fractional shares, we will pay the holder an amount in cash equal to the fractional amount multiplied by the fair market value of our common stock on the exercise date.</w:t>
      </w:r>
    </w:p>
    <w:p>
      <w:pPr>
        <w:spacing w:after="0" w:line="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Exercise Limitations</w:t>
      </w:r>
    </w:p>
    <w:p>
      <w:pPr>
        <w:spacing w:after="0" w:line="121"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596E80"/>
        </w:rPr>
        <w:t>We may not effect the exercise of the pre-funded warrants, and a holder will not be entitled to exercise any portion of the pre-funded warrants that, upon giving effect to such exercise, would cause: (i) the aggregate number of shares of our common stock beneficially owned by such holder (together with its affiliates) to exceed 4.99% (or 9.99%) of the number of shares of our common stock outstanding immediately after giving effect to the exercise; or (ii) the combined voting power of our securities beneficially owned by such holder (together with its affiliates) to exceed 4.99% (or 9.99%) of the combined voting power of all of our securities outstanding immediately after giving effect to the exercise, as such percentage ownership is determined in accordance with the terms of the pre-funded warrants. However, the holder of the pre-funded warrants may increase or decrease such percentage to any other percentage not in excess of 19.99% upon at least 61 days’ prior notice from the holder to us.</w:t>
      </w:r>
    </w:p>
    <w:p>
      <w:pPr>
        <w:spacing w:after="0" w:line="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Exercise Price</w:t>
      </w:r>
    </w:p>
    <w:p>
      <w:pPr>
        <w:spacing w:after="0" w:line="121" w:lineRule="exact"/>
        <w:rPr>
          <w:sz w:val="20"/>
          <w:szCs w:val="20"/>
          <w:color w:val="auto"/>
        </w:rPr>
      </w:pPr>
    </w:p>
    <w:p>
      <w:pPr>
        <w:ind w:left="1260" w:right="479"/>
        <w:spacing w:after="0" w:line="246" w:lineRule="auto"/>
        <w:rPr>
          <w:sz w:val="20"/>
          <w:szCs w:val="20"/>
          <w:color w:val="auto"/>
        </w:rPr>
      </w:pPr>
      <w:r>
        <w:rPr>
          <w:rFonts w:ascii="Times New Roman" w:cs="Times New Roman" w:eastAsia="Times New Roman" w:hAnsi="Times New Roman"/>
          <w:sz w:val="18"/>
          <w:szCs w:val="18"/>
          <w:color w:val="596E80"/>
        </w:rPr>
        <w:t>The exercise price of our common stock purchasable upon the exercise of the pre-funded warrants is $0.0001 per share.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w:t>
      </w:r>
    </w:p>
    <w:p>
      <w:pPr>
        <w:spacing w:after="0" w:line="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Transferability</w:t>
      </w:r>
    </w:p>
    <w:p>
      <w:pPr>
        <w:spacing w:after="0" w:line="121"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596E80"/>
        </w:rPr>
        <w:t>Subject to applicable laws, the pre-funded warrants may be offered for sale, sold, transferred or assigned without our consent.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Exchange Listing</w:t>
      </w:r>
    </w:p>
    <w:p>
      <w:pPr>
        <w:spacing w:after="0" w:line="121"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596E80"/>
        </w:rPr>
        <w:t>There is no established trading market for the pre-funded warrants, and we do not expect a market to develop. We do not intend to apply for the listing of the pre-funded warrants on Nasdaq, any other national securities exchange or any other nationally recognized trading system.</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Fundamental Transactions</w:t>
      </w:r>
    </w:p>
    <w:p>
      <w:pPr>
        <w:spacing w:after="0" w:line="121"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596E80"/>
        </w:rPr>
        <w:t>Upon the consummation of a fundamental transaction (as described in the pre-funded warrants, and generally including any reorganization, recapitalization or reclassification of our common stock, the sale,</w:t>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596E80"/>
        </w:rPr>
        <w:t>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of our outstanding common stock), a holder of the pre-funded warrants will be entitled to receive, upon exercise of the pre-funded warrants, the kind and amount of securities, cash or other property that such holder would have received had they exercised the pre-funded warrants immediately prior to such fundamental transaction, without regard to any limitations on exercise contained in the pre-funded warrants.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No Rights as a Stockholder</w:t>
      </w:r>
    </w:p>
    <w:p>
      <w:pPr>
        <w:spacing w:after="0" w:line="121"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596E80"/>
        </w:rPr>
        <w:t>Except by virtue of such holder’s ownership of shares of our common stock, the holder of the pre-funded warrants does not have the rights or privileges of a holder of our common stock, including any voting rights, until such holder exercises the pre-funded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596E80"/>
        </w:rPr>
        <w:t>MATERIAL U.S. FEDERAL INCOME TAX CONSEQUENCES</w:t>
      </w:r>
    </w:p>
    <w:p>
      <w:pPr>
        <w:spacing w:after="0" w:line="121"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color w:val="596E80"/>
        </w:rPr>
        <w:t>The following discussion is a summary of the material U.S. federal income tax consequences of the purchase, ownership, and disposition of our common stock and pre-funded warrants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Internal Revenue Code of 1986, as amended, or the Code, Treasury Regulations promulgated thereunder, judicial decisions, and published rulings and administrative pronouncements of the Internal Revenue Service, or the IRS, in each case, as in effect as of the date of this offering. These authorities may change or be subject to differing interpretations. Any such change or differing interpretation may be applied retroactively in a manner that could adversely affect a holder of our common stock or pre-funded warrants. We have not sought and do not currently intend to seek any rulings from the IRS regarding the matters discussed below. There can be no assurance the IRS or a court will not take a contrary position to the discussion below regarding the tax consequences of the purchase, ownership, and disposition of our common stock or pre-funded warrants.</w:t>
      </w:r>
    </w:p>
    <w:p>
      <w:pPr>
        <w:spacing w:after="0" w:line="95" w:lineRule="exact"/>
        <w:rPr>
          <w:sz w:val="20"/>
          <w:szCs w:val="20"/>
          <w:color w:val="auto"/>
        </w:rPr>
      </w:pPr>
    </w:p>
    <w:p>
      <w:pPr>
        <w:ind w:left="1260" w:right="419"/>
        <w:spacing w:after="0" w:line="264" w:lineRule="auto"/>
        <w:rPr>
          <w:sz w:val="20"/>
          <w:szCs w:val="20"/>
          <w:color w:val="auto"/>
        </w:rPr>
      </w:pPr>
      <w:r>
        <w:rPr>
          <w:rFonts w:ascii="Times New Roman" w:cs="Times New Roman" w:eastAsia="Times New Roman" w:hAnsi="Times New Roman"/>
          <w:sz w:val="17"/>
          <w:szCs w:val="17"/>
          <w:color w:val="596E80"/>
        </w:rPr>
        <w:t>This discussion is limited to holders that hold our common stock or pre-funded warrants as “capital assets”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w:t>
      </w:r>
    </w:p>
    <w:p>
      <w:pPr>
        <w:spacing w:after="0" w:line="59" w:lineRule="exact"/>
        <w:rPr>
          <w:sz w:val="20"/>
          <w:szCs w:val="20"/>
          <w:color w:val="auto"/>
        </w:rPr>
      </w:pPr>
    </w:p>
    <w:p>
      <w:pPr>
        <w:ind w:left="1840" w:hanging="220"/>
        <w:spacing w:after="0"/>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U.S. expatriates and former citizens or long-term residents of the United States;</w:t>
      </w:r>
    </w:p>
    <w:p>
      <w:pPr>
        <w:spacing w:after="0" w:line="117" w:lineRule="exact"/>
        <w:rPr>
          <w:rFonts w:ascii="Times New Roman" w:cs="Times New Roman" w:eastAsia="Times New Roman" w:hAnsi="Times New Roman"/>
          <w:sz w:val="18"/>
          <w:szCs w:val="18"/>
          <w:color w:val="596E80"/>
        </w:rPr>
      </w:pPr>
    </w:p>
    <w:p>
      <w:pPr>
        <w:ind w:left="1840" w:right="919" w:hanging="220"/>
        <w:spacing w:after="0" w:line="282" w:lineRule="auto"/>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persons holding our common stock or pre-funded warrants as part of a hedge, straddle or other risk reduction strategy, or as part of a conversion transaction or other integrated investment;</w:t>
      </w:r>
    </w:p>
    <w:p>
      <w:pPr>
        <w:spacing w:after="0" w:line="40"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banks, insurance companies, and other financial institutions;</w:t>
      </w:r>
    </w:p>
    <w:p>
      <w:pPr>
        <w:spacing w:after="0" w:line="117"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real estate investment trusts or regulated investment companies;</w:t>
      </w:r>
    </w:p>
    <w:p>
      <w:pPr>
        <w:spacing w:after="0" w:line="117"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brokers, dealers, or traders in securities or currencies;</w:t>
      </w:r>
    </w:p>
    <w:p>
      <w:pPr>
        <w:spacing w:after="0" w:line="117" w:lineRule="exact"/>
        <w:rPr>
          <w:rFonts w:ascii="Times New Roman" w:cs="Times New Roman" w:eastAsia="Times New Roman" w:hAnsi="Times New Roman"/>
          <w:sz w:val="18"/>
          <w:szCs w:val="18"/>
          <w:color w:val="596E80"/>
        </w:rPr>
      </w:pPr>
    </w:p>
    <w:p>
      <w:pPr>
        <w:ind w:left="1840" w:right="1039" w:hanging="220"/>
        <w:spacing w:after="0" w:line="282" w:lineRule="auto"/>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596E80"/>
        </w:rPr>
      </w:pPr>
    </w:p>
    <w:p>
      <w:pPr>
        <w:ind w:left="1840" w:right="759" w:hanging="220"/>
        <w:spacing w:after="0" w:line="282" w:lineRule="auto"/>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S corporations, partnerships or other entities or arrangements treated as pass-through entities for U.S. federal income tax purposes (and investors therein);</w:t>
      </w:r>
    </w:p>
    <w:p>
      <w:pPr>
        <w:spacing w:after="0" w:line="40"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tax-exempt organizations or governmental organizations;</w:t>
      </w:r>
    </w:p>
    <w:p>
      <w:pPr>
        <w:spacing w:after="0" w:line="117" w:lineRule="exact"/>
        <w:rPr>
          <w:rFonts w:ascii="Times New Roman" w:cs="Times New Roman" w:eastAsia="Times New Roman" w:hAnsi="Times New Roman"/>
          <w:sz w:val="18"/>
          <w:szCs w:val="18"/>
          <w:color w:val="596E80"/>
        </w:rPr>
      </w:pPr>
    </w:p>
    <w:p>
      <w:pPr>
        <w:ind w:left="1840" w:right="559" w:hanging="220"/>
        <w:spacing w:after="0" w:line="282" w:lineRule="auto"/>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persons deemed to sell our common stock or pre-funded warrants under the constructive sale provisions of the Code;</w:t>
      </w:r>
    </w:p>
    <w:p>
      <w:pPr>
        <w:spacing w:after="0" w:line="53" w:lineRule="exact"/>
        <w:rPr>
          <w:rFonts w:ascii="Times New Roman" w:cs="Times New Roman" w:eastAsia="Times New Roman" w:hAnsi="Times New Roman"/>
          <w:sz w:val="18"/>
          <w:szCs w:val="18"/>
          <w:color w:val="596E80"/>
        </w:rPr>
      </w:pPr>
    </w:p>
    <w:p>
      <w:pPr>
        <w:ind w:left="1840" w:right="939" w:hanging="220"/>
        <w:spacing w:after="0" w:line="282" w:lineRule="auto"/>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“qualified foreign pension funds” as defined in Section 897(l)(2) of the Code and entities all of the interests of which are held by qualified foreign pension funds;</w:t>
      </w:r>
    </w:p>
    <w:p>
      <w:pPr>
        <w:spacing w:after="0" w:line="53" w:lineRule="exact"/>
        <w:rPr>
          <w:rFonts w:ascii="Times New Roman" w:cs="Times New Roman" w:eastAsia="Times New Roman" w:hAnsi="Times New Roman"/>
          <w:sz w:val="18"/>
          <w:szCs w:val="18"/>
          <w:color w:val="596E80"/>
        </w:rPr>
      </w:pPr>
    </w:p>
    <w:p>
      <w:pPr>
        <w:ind w:left="1840" w:right="679" w:hanging="220"/>
        <w:spacing w:after="0" w:line="282" w:lineRule="auto"/>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persons who hold or receive our common stock or pre-funded warrants pursuant to the exercise of any employee stock option or otherwise as compensation; and</w:t>
      </w:r>
    </w:p>
    <w:p>
      <w:pPr>
        <w:spacing w:after="0" w:line="53"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1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tax-qualified retirement plans.</w:t>
      </w:r>
    </w:p>
    <w:p>
      <w:pPr>
        <w:spacing w:after="0" w:line="117"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596E80"/>
        </w:rPr>
        <w:t>If a partnership (or other entity or arrangement treated as a partnership for U.S. federal income tax purposes) holds our common stock or pre-funded warrants, the tax treatment of a partner in the partnership will depend on the status of the partner, the activities of the partnership, and certain determinations made at the partner level. Accordingly, partnerships holding our common stock or pre-funded warrants and the partners in such partnerships should consult their tax advisors regarding the U.S. federal income tax consequences to them.</w:t>
      </w:r>
    </w:p>
    <w:p>
      <w:pPr>
        <w:spacing w:after="0" w:line="73" w:lineRule="exact"/>
        <w:rPr>
          <w:sz w:val="20"/>
          <w:szCs w:val="20"/>
          <w:color w:val="auto"/>
        </w:rPr>
      </w:pPr>
    </w:p>
    <w:p>
      <w:pPr>
        <w:ind w:left="1260" w:right="739"/>
        <w:spacing w:after="0" w:line="270" w:lineRule="auto"/>
        <w:rPr>
          <w:sz w:val="20"/>
          <w:szCs w:val="20"/>
          <w:color w:val="auto"/>
        </w:rPr>
      </w:pPr>
      <w:r>
        <w:rPr>
          <w:rFonts w:ascii="Times New Roman" w:cs="Times New Roman" w:eastAsia="Times New Roman" w:hAnsi="Times New Roman"/>
          <w:sz w:val="17"/>
          <w:szCs w:val="17"/>
          <w:color w:val="596E80"/>
        </w:rPr>
        <w:t>THIS DISCUSSION IS NOT TAX ADVICE. INVESTORS SHOULD CONSULT THEIR TAX ADVISORS WITH RESPECT TO THE APPLICATION OF THE U.S. FEDERAL INCOME TAX LAWS TO THEIR PARTICULAR SITUATIONS AS WELL AS ANY TAX CONSEQUENCES OF THE PURCHASE, OWNERSHIP, AND DISPOSITION OF OUR COMMON STOCK OR PRE-FUNDED WARRANTS</w:t>
      </w:r>
    </w:p>
    <w:p>
      <w:pPr>
        <w:spacing w:after="0" w:line="3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spacing w:after="0" w:line="266" w:lineRule="auto"/>
        <w:rPr>
          <w:sz w:val="20"/>
          <w:szCs w:val="20"/>
          <w:color w:val="auto"/>
        </w:rPr>
      </w:pPr>
      <w:r>
        <w:rPr>
          <w:rFonts w:ascii="Times New Roman" w:cs="Times New Roman" w:eastAsia="Times New Roman" w:hAnsi="Times New Roman"/>
          <w:sz w:val="18"/>
          <w:szCs w:val="18"/>
          <w:color w:val="596E80"/>
        </w:rPr>
        <w:t>ARISING UNDER THE U.S. FEDERAL ESTATE OR GIFT TAX LAWS OR UNDER THE LAWS OF ANY STATE, LOCAL, OR NON-U.S. TAXING JURISDICTION OR UNDER ANY APPLICABLE INCOME TAX TREATY.</w:t>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Pre-Funded Warrants</w:t>
      </w:r>
    </w:p>
    <w:p>
      <w:pPr>
        <w:spacing w:after="0" w:line="121"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596E80"/>
        </w:rPr>
        <w:t>Although it is not entirely free from doubt, a pre-funded warrant should be treated as a share of our common stock for U.S. federal income tax purposes and a holder of a pre-funded warrant should generally be taxed in the same manner as a holder of such common stock, as described below. Accordingly, no gain or loss should be recognized (other than with respect to cash paid in lieu of a fractional share) upon the exercise of a pre-funded warrant and, upon exercise, the holding period of a pre-funded warrant should carry over to the common stock received. Similarly, the tax basis of the pre-funded warrant should carry over to the common stock received upon exercise, increased by the exercise price per share of common stock.</w:t>
      </w:r>
    </w:p>
    <w:p>
      <w:pPr>
        <w:spacing w:after="0" w:line="81"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596E80"/>
        </w:rPr>
        <w:t>Our characterization is not binding on the IRS, and the IRS may treat a pre-funded warrant as a warrant to acquire our common stock.</w:t>
      </w:r>
    </w:p>
    <w:p>
      <w:pPr>
        <w:spacing w:after="0" w:line="54"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596E80"/>
        </w:rPr>
        <w:t>In that case, the amount and character of any gain or loss with respect to an investment in our pre-funded warrants could be materially different than the discussion set forth below. Accordingly, each prospective investor in our pre-funded warrants should consult such investor’s tax advisor regarding the risks associated with the purchase, ownership, and disposition of pre-funded warrants pursuant to this offering (including potential alternative characterizations). The remainder of this discussion generally assumes that a pre-funded warrant is treated as a share of our common stock for U.S. federal income tax purposes.</w:t>
      </w:r>
    </w:p>
    <w:p>
      <w:pPr>
        <w:spacing w:after="0" w:line="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Tax Considerations Applicable to U.S. Holders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Definition of a U.S. Holder</w:t>
      </w:r>
    </w:p>
    <w:p>
      <w:pPr>
        <w:spacing w:after="0" w:line="121"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596E80"/>
        </w:rPr>
        <w:t>For purposes of this discussion, a “U.S. holder” is a beneficial owner of our common stock or the pre-funded warrants that, for U.S. federal income tax purposes, is or is treated as any of the following:</w:t>
      </w:r>
    </w:p>
    <w:p>
      <w:pPr>
        <w:spacing w:after="0" w:line="81" w:lineRule="exact"/>
        <w:rPr>
          <w:sz w:val="20"/>
          <w:szCs w:val="20"/>
          <w:color w:val="auto"/>
        </w:rPr>
      </w:pPr>
    </w:p>
    <w:p>
      <w:pPr>
        <w:ind w:left="1840" w:hanging="220"/>
        <w:spacing w:after="0"/>
        <w:tabs>
          <w:tab w:leader="none" w:pos="1840" w:val="left"/>
        </w:tabs>
        <w:numPr>
          <w:ilvl w:val="0"/>
          <w:numId w:val="13"/>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an individual who is a citizen or resident of the United States;</w:t>
      </w:r>
    </w:p>
    <w:p>
      <w:pPr>
        <w:spacing w:after="0" w:line="130" w:lineRule="exact"/>
        <w:rPr>
          <w:rFonts w:ascii="Times New Roman" w:cs="Times New Roman" w:eastAsia="Times New Roman" w:hAnsi="Times New Roman"/>
          <w:sz w:val="18"/>
          <w:szCs w:val="18"/>
          <w:color w:val="596E80"/>
        </w:rPr>
      </w:pPr>
    </w:p>
    <w:p>
      <w:pPr>
        <w:ind w:left="1840" w:right="459" w:hanging="220"/>
        <w:spacing w:after="0" w:line="282" w:lineRule="auto"/>
        <w:tabs>
          <w:tab w:leader="none" w:pos="1840" w:val="left"/>
        </w:tabs>
        <w:numPr>
          <w:ilvl w:val="0"/>
          <w:numId w:val="13"/>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a corporation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13"/>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an estate, the income of which is subject to U.S. federal income tax regardless of its source; or</w:t>
      </w:r>
    </w:p>
    <w:p>
      <w:pPr>
        <w:spacing w:after="0" w:line="144"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13"/>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a trust that (1) is subject to the primary supervision of a U.S. court and one or more “United States</w:t>
      </w:r>
    </w:p>
    <w:p>
      <w:pPr>
        <w:spacing w:after="0" w:line="27" w:lineRule="exact"/>
        <w:rPr>
          <w:rFonts w:ascii="Times New Roman" w:cs="Times New Roman" w:eastAsia="Times New Roman" w:hAnsi="Times New Roman"/>
          <w:sz w:val="18"/>
          <w:szCs w:val="18"/>
          <w:color w:val="596E80"/>
        </w:rPr>
      </w:pPr>
    </w:p>
    <w:p>
      <w:pPr>
        <w:ind w:left="1840" w:right="439"/>
        <w:spacing w:after="0" w:line="255" w:lineRule="auto"/>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persons” (within​ the meaning of Section 7701(a)(30) of the Code) have the authority to control all substantial decisions of the trust or (2) has a valid election in effect to be treated as a United States person for U.S. federal income tax purposes.</w:t>
      </w:r>
    </w:p>
    <w:p>
      <w:pPr>
        <w:spacing w:after="0" w:line="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Distributions</w:t>
      </w:r>
    </w:p>
    <w:p>
      <w:pPr>
        <w:spacing w:after="0" w:line="121"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596E80"/>
        </w:rPr>
        <w:t>As described in the section titled “Dividend Policy,” we do not intend to pay cash dividends to our stockholders in the foreseeable future. However, if we do make distributions of cash or property on our common stock or pre-funded warrants, such distributions will constitute dividends for U.S. federal income tax purposes to the extent paid from our current or accumulated earnings and profits, as determined under U.S. federal income tax principles.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w:t>
      </w:r>
    </w:p>
    <w:p>
      <w:pPr>
        <w:spacing w:after="0" w:line="84"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596E80"/>
        </w:rPr>
        <w:t>Amounts not treated as dividends for U.S. federal income tax purposes will constitute a return of capital and first be applied against and reduce a U.S. holder’s adjusted tax basis in our common stock or pre-funded warrants, but not below zero. Any excess will be treated as capital gain and will be treated as described below under “—</w:t>
      </w:r>
      <w:r>
        <w:rPr>
          <w:rFonts w:ascii="Times New Roman" w:cs="Times New Roman" w:eastAsia="Times New Roman" w:hAnsi="Times New Roman"/>
          <w:sz w:val="18"/>
          <w:szCs w:val="18"/>
          <w:i w:val="1"/>
          <w:iCs w:val="1"/>
          <w:color w:val="596E80"/>
        </w:rPr>
        <w:t>Tax</w:t>
      </w:r>
      <w:r>
        <w:rPr>
          <w:rFonts w:ascii="Times New Roman" w:cs="Times New Roman" w:eastAsia="Times New Roman" w:hAnsi="Times New Roman"/>
          <w:sz w:val="18"/>
          <w:szCs w:val="18"/>
          <w:color w:val="596E80"/>
        </w:rPr>
        <w:t xml:space="preserve"> </w:t>
      </w:r>
      <w:r>
        <w:rPr>
          <w:rFonts w:ascii="Times New Roman" w:cs="Times New Roman" w:eastAsia="Times New Roman" w:hAnsi="Times New Roman"/>
          <w:sz w:val="18"/>
          <w:szCs w:val="18"/>
          <w:i w:val="1"/>
          <w:iCs w:val="1"/>
          <w:color w:val="596E80"/>
        </w:rPr>
        <w:t>Considerations Applicable to U.S. Holders—Sale or Other Taxable Disposition</w:t>
      </w:r>
      <w:r>
        <w:rPr>
          <w:rFonts w:ascii="Times New Roman" w:cs="Times New Roman" w:eastAsia="Times New Roman" w:hAnsi="Times New Roman"/>
          <w:sz w:val="18"/>
          <w:szCs w:val="18"/>
          <w:color w:val="596E80"/>
        </w:rPr>
        <w:t>.”</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Constructive Distributions on Pre-Funded Warrants</w:t>
      </w:r>
    </w:p>
    <w:p>
      <w:pPr>
        <w:spacing w:after="0" w:line="121"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596E80"/>
        </w:rPr>
        <w:t>A U.S. holder of pre-funded warrants may, in some circumstances, be deemed to have received a distribution subject to U.S. federal income tax as a result of an adjustment or the non-occurrence of an adjustment to the exercise price or number of shares of common stock issuable upon exercise of such pre-funded warrants. U.S. holders should consult their tax advisors regarding the proper treatment of any adjustments or the non-occurrence of an adjustment to pre-funded warrants.</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Sale or Other Taxable Disposition</w:t>
      </w:r>
    </w:p>
    <w:p>
      <w:pPr>
        <w:spacing w:after="0" w:line="121"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596E80"/>
        </w:rPr>
        <w:t>Upon the sale, exchange, or other taxable disposition of the common stock or pre-funded warrants, a U.S. holder generally will recognize capital gain or loss equal to the difference between (i) the amount of cash and the fair market value of any property received upon the sale, exchange or other taxable disposition and (ii) such U.S. holder’s adjusted tax basis in the common stock or pre-funded warrants. Such capital gain or loss will be long term capital gain or loss if the U.S. holder’s holding period in such common stock or pre-funded warrants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w:t>
      </w: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Information Reporting and Backup Withholding</w:t>
      </w:r>
    </w:p>
    <w:p>
      <w:pPr>
        <w:spacing w:after="0" w:line="121"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596E80"/>
        </w:rPr>
        <w:t>A U.S. holder may be subject to information reporting and backup withholding if such holder receives distributions on the common stock or pre-funded warrants (including constructive distributions) or receives proceeds from the sale or other taxable disposition of common stock or pre-funded warrants. Certain U.S. holders are exempt from backup withholding. A U.S. holder will be subject to backup withholding if such holder is not otherwise exempt and such holder:</w:t>
      </w:r>
    </w:p>
    <w:p>
      <w:pPr>
        <w:spacing w:after="0" w:line="73" w:lineRule="exact"/>
        <w:rPr>
          <w:sz w:val="20"/>
          <w:szCs w:val="20"/>
          <w:color w:val="auto"/>
        </w:rPr>
      </w:pPr>
    </w:p>
    <w:p>
      <w:pPr>
        <w:ind w:left="1840" w:right="779" w:hanging="220"/>
        <w:spacing w:after="0" w:line="282" w:lineRule="auto"/>
        <w:tabs>
          <w:tab w:leader="none" w:pos="1840" w:val="left"/>
        </w:tabs>
        <w:numPr>
          <w:ilvl w:val="0"/>
          <w:numId w:val="14"/>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fails to furnish the holder’s taxpayer identification number, which for an individual is ordinarily such individual’s social security number;</w:t>
      </w:r>
    </w:p>
    <w:p>
      <w:pPr>
        <w:spacing w:after="0" w:line="40" w:lineRule="exact"/>
        <w:rPr>
          <w:rFonts w:ascii="Times New Roman" w:cs="Times New Roman" w:eastAsia="Times New Roman" w:hAnsi="Times New Roman"/>
          <w:sz w:val="18"/>
          <w:szCs w:val="18"/>
          <w:color w:val="596E80"/>
        </w:rPr>
      </w:pPr>
    </w:p>
    <w:p>
      <w:pPr>
        <w:ind w:left="1840" w:hanging="220"/>
        <w:spacing w:after="0"/>
        <w:tabs>
          <w:tab w:leader="none" w:pos="1840" w:val="left"/>
        </w:tabs>
        <w:numPr>
          <w:ilvl w:val="0"/>
          <w:numId w:val="14"/>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furnishes an incorrect taxpayer identification number;</w:t>
      </w:r>
    </w:p>
    <w:p>
      <w:pPr>
        <w:spacing w:after="0" w:line="103" w:lineRule="exact"/>
        <w:rPr>
          <w:rFonts w:ascii="Times New Roman" w:cs="Times New Roman" w:eastAsia="Times New Roman" w:hAnsi="Times New Roman"/>
          <w:sz w:val="18"/>
          <w:szCs w:val="18"/>
          <w:color w:val="596E80"/>
        </w:rPr>
      </w:pPr>
    </w:p>
    <w:p>
      <w:pPr>
        <w:ind w:left="1840" w:right="1139" w:hanging="220"/>
        <w:spacing w:after="0" w:line="282" w:lineRule="auto"/>
        <w:tabs>
          <w:tab w:leader="none" w:pos="1840" w:val="left"/>
        </w:tabs>
        <w:numPr>
          <w:ilvl w:val="0"/>
          <w:numId w:val="14"/>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is notified by the IRS that the holder previously failed to properly report payments of interest or dividends; or</w:t>
      </w:r>
    </w:p>
    <w:p>
      <w:pPr>
        <w:spacing w:after="0" w:line="53" w:lineRule="exact"/>
        <w:rPr>
          <w:rFonts w:ascii="Times New Roman" w:cs="Times New Roman" w:eastAsia="Times New Roman" w:hAnsi="Times New Roman"/>
          <w:sz w:val="18"/>
          <w:szCs w:val="18"/>
          <w:color w:val="596E80"/>
        </w:rPr>
      </w:pPr>
    </w:p>
    <w:p>
      <w:pPr>
        <w:ind w:left="1840" w:right="699" w:hanging="220"/>
        <w:spacing w:after="0" w:line="312" w:lineRule="auto"/>
        <w:tabs>
          <w:tab w:leader="none" w:pos="1840" w:val="left"/>
        </w:tabs>
        <w:numPr>
          <w:ilvl w:val="0"/>
          <w:numId w:val="14"/>
        </w:numPr>
        <w:rPr>
          <w:rFonts w:ascii="Times New Roman" w:cs="Times New Roman" w:eastAsia="Times New Roman" w:hAnsi="Times New Roman"/>
          <w:sz w:val="17"/>
          <w:szCs w:val="17"/>
          <w:color w:val="596E80"/>
        </w:rPr>
      </w:pPr>
      <w:r>
        <w:rPr>
          <w:rFonts w:ascii="Times New Roman" w:cs="Times New Roman" w:eastAsia="Times New Roman" w:hAnsi="Times New Roman"/>
          <w:sz w:val="17"/>
          <w:szCs w:val="17"/>
          <w:color w:val="596E80"/>
        </w:rPr>
        <w:t>fails to certify under penalties of perjury that the holder has furnished a correct taxpayer identification number and that the IRS has not notified the holder that the holder is subject to backup withholding.</w:t>
      </w:r>
    </w:p>
    <w:p>
      <w:pPr>
        <w:spacing w:after="0" w:line="32" w:lineRule="exact"/>
        <w:rPr>
          <w:sz w:val="20"/>
          <w:szCs w:val="20"/>
          <w:color w:val="auto"/>
        </w:rPr>
      </w:pPr>
    </w:p>
    <w:p>
      <w:pPr>
        <w:ind w:left="1260" w:right="579"/>
        <w:spacing w:after="0" w:line="270" w:lineRule="auto"/>
        <w:rPr>
          <w:sz w:val="20"/>
          <w:szCs w:val="20"/>
          <w:color w:val="auto"/>
        </w:rPr>
      </w:pPr>
      <w:r>
        <w:rPr>
          <w:rFonts w:ascii="Times New Roman" w:cs="Times New Roman" w:eastAsia="Times New Roman" w:hAnsi="Times New Roman"/>
          <w:sz w:val="17"/>
          <w:szCs w:val="17"/>
          <w:color w:val="596E80"/>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Tax Considerations Applicable to Non-U.S. Holders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Definition of a Non-U.S. Holder</w:t>
      </w:r>
    </w:p>
    <w:p>
      <w:pPr>
        <w:spacing w:after="0" w:line="121"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596E80"/>
        </w:rPr>
        <w:t>For purposes of this discussion, a “non-U.S. holder” is a beneficial owner of our common stock or pre-funded warrants that is neither a U.S. holder nor an entity treated as a partnership for U.S. federal income tax purposes.</w:t>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Distributions</w:t>
      </w:r>
    </w:p>
    <w:p>
      <w:pPr>
        <w:spacing w:after="0" w:line="121" w:lineRule="exact"/>
        <w:rPr>
          <w:sz w:val="20"/>
          <w:szCs w:val="20"/>
          <w:color w:val="auto"/>
        </w:rPr>
      </w:pPr>
    </w:p>
    <w:p>
      <w:pPr>
        <w:ind w:left="1260" w:right="519"/>
        <w:spacing w:after="0" w:line="246" w:lineRule="auto"/>
        <w:rPr>
          <w:sz w:val="20"/>
          <w:szCs w:val="20"/>
          <w:color w:val="auto"/>
        </w:rPr>
      </w:pPr>
      <w:r>
        <w:rPr>
          <w:rFonts w:ascii="Times New Roman" w:cs="Times New Roman" w:eastAsia="Times New Roman" w:hAnsi="Times New Roman"/>
          <w:sz w:val="18"/>
          <w:szCs w:val="18"/>
          <w:color w:val="596E80"/>
        </w:rPr>
        <w:t>As described in the section titled “Dividend Policy,” we do not intend to pay cash dividends to our stockholders in the foreseeable future. However, if we do make distributions of cash or property on our common stock or pre-funded warrants, such distributions will constitute dividends for U.S. federal income tax purposes to the extent paid from our current or accumulated earnings and profits, as determined under U.S. federal income tax principles.</w:t>
      </w:r>
    </w:p>
    <w:p>
      <w:pPr>
        <w:spacing w:after="0" w:line="73"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596E80"/>
        </w:rPr>
        <w:t>Amounts not treated as dividends for U.S. federal income tax purposes will constitute a return of capital and first be applied against and reduce a non-U.S. holder’s adjusted tax basis in our common stock or pre-funded warrants, but not below zero. Any excess will be treated as capital gain and will be treated as</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596E80"/>
        </w:rPr>
        <w:t>described below under “—</w:t>
      </w:r>
      <w:r>
        <w:rPr>
          <w:rFonts w:ascii="Times New Roman" w:cs="Times New Roman" w:eastAsia="Times New Roman" w:hAnsi="Times New Roman"/>
          <w:sz w:val="18"/>
          <w:szCs w:val="18"/>
          <w:i w:val="1"/>
          <w:iCs w:val="1"/>
          <w:color w:val="596E80"/>
        </w:rPr>
        <w:t>Tax Considerations Applicable to Non-U.S. Holders—Sale or Other Taxable</w:t>
      </w:r>
      <w:r>
        <w:rPr>
          <w:rFonts w:ascii="Times New Roman" w:cs="Times New Roman" w:eastAsia="Times New Roman" w:hAnsi="Times New Roman"/>
          <w:sz w:val="18"/>
          <w:szCs w:val="18"/>
          <w:color w:val="596E80"/>
        </w:rPr>
        <w:t xml:space="preserve"> </w:t>
      </w:r>
      <w:r>
        <w:rPr>
          <w:rFonts w:ascii="Times New Roman" w:cs="Times New Roman" w:eastAsia="Times New Roman" w:hAnsi="Times New Roman"/>
          <w:sz w:val="18"/>
          <w:szCs w:val="18"/>
          <w:i w:val="1"/>
          <w:iCs w:val="1"/>
          <w:color w:val="596E80"/>
        </w:rPr>
        <w:t>Disposition.</w:t>
      </w:r>
      <w:r>
        <w:rPr>
          <w:rFonts w:ascii="Times New Roman" w:cs="Times New Roman" w:eastAsia="Times New Roman" w:hAnsi="Times New Roman"/>
          <w:sz w:val="18"/>
          <w:szCs w:val="18"/>
          <w:color w:val="596E80"/>
        </w:rPr>
        <w:t>” Because we may not know the extent to which a distribution is a dividend for U.S. federal income</w:t>
      </w:r>
      <w:r>
        <w:rPr>
          <w:rFonts w:ascii="Times New Roman" w:cs="Times New Roman" w:eastAsia="Times New Roman" w:hAnsi="Times New Roman"/>
          <w:sz w:val="18"/>
          <w:szCs w:val="18"/>
          <w:i w:val="1"/>
          <w:iCs w:val="1"/>
          <w:color w:val="596E80"/>
        </w:rPr>
        <w:t xml:space="preserve"> </w:t>
      </w:r>
      <w:r>
        <w:rPr>
          <w:rFonts w:ascii="Times New Roman" w:cs="Times New Roman" w:eastAsia="Times New Roman" w:hAnsi="Times New Roman"/>
          <w:sz w:val="18"/>
          <w:szCs w:val="18"/>
          <w:color w:val="596E80"/>
        </w:rPr>
        <w:t>tax purposes at the time it is made, for purposes of the withholding rules discussed below, we or the applicable withholding agent may treat the entire distribution as a dividend.</w:t>
      </w:r>
    </w:p>
    <w:p>
      <w:pPr>
        <w:spacing w:after="0" w:line="74"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596E80"/>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such lower rate under an income tax treaty between the United States and the country in which the non-U.S. holder resides or is established). This certification must be provided to the applicable withholding agent prior to the payment of dividends and must be updated periodically.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 that may provide for different rules.</w:t>
      </w:r>
    </w:p>
    <w:p>
      <w:pPr>
        <w:spacing w:after="0" w:line="86"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596E80"/>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This certification must be provided to the applicable withholding agent prior to the payment of dividends and must be updated periodically. Any such effectively connected dividends will be subject to U.S. federal income tax on a net income basis at the regular rates. In addition, a non-U.S. holder that is a corporation may be subject to a branch profits tax at a rate of 30% (or such lower rate specified by an applicable income tax treaty) on its effectively connected dividends, as adjusted for certain items. Non-U.S. holders should consult their tax advisors regarding their entitlement to benefits under any applicable income tax treaty.</w:t>
      </w:r>
    </w:p>
    <w:p>
      <w:pPr>
        <w:spacing w:after="0" w:line="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Constructive Distributions on Pre-Funded Warrants</w:t>
      </w:r>
    </w:p>
    <w:p>
      <w:pPr>
        <w:spacing w:after="0" w:line="121"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596E80"/>
        </w:rPr>
        <w:t>A non-U.S. holder of pre-funded warrants may be treated as receiving deemed payment of a taxable dividend as a result of an adjustment or the non-occurrence of an adjustment to the exercise price or number of shares of common stock issuable upon exercise of such pre-funded warrants. Non-U.S. holders should consult their tax advisors regarding the proper treatment of any adjustments or the non-occurrence of an adjustment to the pre-funded warrants.</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Sale or Other Taxable Disposition</w:t>
      </w:r>
    </w:p>
    <w:p>
      <w:pPr>
        <w:spacing w:after="0" w:line="121"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596E80"/>
        </w:rPr>
        <w:t>A non-U.S. holder will not be subject to U.S. federal income tax on any gain realized upon the sale or other taxable disposition of our common stock or pre-funded warrants unless:</w:t>
      </w:r>
    </w:p>
    <w:p>
      <w:pPr>
        <w:spacing w:after="0" w:line="54" w:lineRule="exact"/>
        <w:rPr>
          <w:sz w:val="20"/>
          <w:szCs w:val="20"/>
          <w:color w:val="auto"/>
        </w:rPr>
      </w:pPr>
    </w:p>
    <w:p>
      <w:pPr>
        <w:ind w:left="1840" w:right="799" w:hanging="220"/>
        <w:spacing w:after="0" w:line="266" w:lineRule="auto"/>
        <w:tabs>
          <w:tab w:leader="none" w:pos="1840" w:val="left"/>
        </w:tabs>
        <w:numPr>
          <w:ilvl w:val="0"/>
          <w:numId w:val="15"/>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1" w:lineRule="exact"/>
        <w:rPr>
          <w:rFonts w:ascii="Times New Roman" w:cs="Times New Roman" w:eastAsia="Times New Roman" w:hAnsi="Times New Roman"/>
          <w:sz w:val="18"/>
          <w:szCs w:val="18"/>
          <w:color w:val="596E80"/>
        </w:rPr>
      </w:pPr>
    </w:p>
    <w:p>
      <w:pPr>
        <w:ind w:left="1840" w:right="699" w:hanging="220"/>
        <w:spacing w:after="0" w:line="266" w:lineRule="auto"/>
        <w:tabs>
          <w:tab w:leader="none" w:pos="1840" w:val="left"/>
        </w:tabs>
        <w:numPr>
          <w:ilvl w:val="0"/>
          <w:numId w:val="15"/>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non-U.S. holder is a nonresident alien individual present in the United States for 183 days or more during the taxable year of the disposition (as calculated pursuant to Section 7701(b) of the Code) and certain other requirements are met; or</w:t>
      </w:r>
    </w:p>
    <w:p>
      <w:pPr>
        <w:spacing w:after="0" w:line="67" w:lineRule="exact"/>
        <w:rPr>
          <w:rFonts w:ascii="Times New Roman" w:cs="Times New Roman" w:eastAsia="Times New Roman" w:hAnsi="Times New Roman"/>
          <w:sz w:val="18"/>
          <w:szCs w:val="18"/>
          <w:color w:val="596E80"/>
        </w:rPr>
      </w:pPr>
    </w:p>
    <w:p>
      <w:pPr>
        <w:jc w:val="both"/>
        <w:ind w:left="1840" w:right="459" w:hanging="220"/>
        <w:spacing w:after="0" w:line="312" w:lineRule="auto"/>
        <w:tabs>
          <w:tab w:leader="none" w:pos="1840" w:val="left"/>
        </w:tabs>
        <w:numPr>
          <w:ilvl w:val="0"/>
          <w:numId w:val="15"/>
        </w:numPr>
        <w:rPr>
          <w:rFonts w:ascii="Times New Roman" w:cs="Times New Roman" w:eastAsia="Times New Roman" w:hAnsi="Times New Roman"/>
          <w:sz w:val="17"/>
          <w:szCs w:val="17"/>
          <w:color w:val="596E80"/>
        </w:rPr>
      </w:pPr>
      <w:r>
        <w:rPr>
          <w:rFonts w:ascii="Times New Roman" w:cs="Times New Roman" w:eastAsia="Times New Roman" w:hAnsi="Times New Roman"/>
          <w:sz w:val="17"/>
          <w:szCs w:val="17"/>
          <w:color w:val="596E80"/>
        </w:rPr>
        <w:t>our common stock or pre-funded warrants constitute a U.S. real property interest, or USRPI, by reason of our status as a U.S. real property holding corporation, or USRPHC, for U.S. federal income tax purposes.</w:t>
      </w:r>
    </w:p>
    <w:p>
      <w:pPr>
        <w:spacing w:after="0" w:line="32"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596E80"/>
        </w:rPr>
        <w:t>Gain described in the first bullet point above will generally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8" w:lineRule="auto"/>
        <w:rPr>
          <w:sz w:val="20"/>
          <w:szCs w:val="20"/>
          <w:color w:val="auto"/>
        </w:rPr>
      </w:pPr>
      <w:r>
        <w:rPr>
          <w:rFonts w:ascii="Times New Roman" w:cs="Times New Roman" w:eastAsia="Times New Roman" w:hAnsi="Times New Roman"/>
          <w:sz w:val="17"/>
          <w:szCs w:val="17"/>
          <w:color w:val="596E80"/>
        </w:rPr>
        <w:t>A non-U.S. holder described in the second bullet point above will be subject to U.S. federal income tax at a rate of 30% (or such lower rate specified by an applicable income tax treaty) on any gain realized upon the sale or other taxable disposition of our common stock or pre-funded warrants,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56"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596E80"/>
        </w:rPr>
        <w:t>With respect to the third bullet point above, we believe we currently are not, and do not anticipate becoming, a USRPHC. Because the determination of whether we are a USRPHC depends, however, on the fair market value of our USRPIs relative to the fair market value of our other business assets and our non-U.S. real property interests, there can be no assurance we currently are not a USRPHC or will not become one in the future. Even if we are or were to become a USRPHC, gain arising from the sale or other taxable disposition of our common stock or pre-funded warrants by a non-U.S. holder will not be subject to U.S. federal income tax if our common stock or pre-funded warrants are “regularly traded,” as defined by applicable Treasury Regulations, on an established securities market, and such non-U.S. holder owned, actually and constructively, 5% or less of our common stock and/or pre-funded warrants throughout the shorter of the five-year period ending on the date of the sale or other taxable disposition or the non-U.S. holder’s holding period for such common stock or pre-funded warrants.</w:t>
      </w:r>
    </w:p>
    <w:p>
      <w:pPr>
        <w:spacing w:after="0" w:line="94"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596E80"/>
        </w:rPr>
        <w:t>Non-U.S. holders should consult their tax advisors regarding potentially applicable income tax treaties that may provide for different rules.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Information Reporting and Backup Withholding</w:t>
      </w:r>
    </w:p>
    <w:p>
      <w:pPr>
        <w:spacing w:after="0" w:line="121"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596E80"/>
        </w:rPr>
        <w:t>Payments of dividends on our common stock or pre-funded warrants to a non-U.S. holder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or pre-funded warrants paid to the non-U.S. holder, regardless of whether such distributions constitute dividends or whether any tax was actually withheld. In addition, proceeds of the sale or other taxable disposition of our common stock or pre-funded warrants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or pre-funded warrants conducted through a non-U.S. office of a non-U.S. broker generally will not be subject to backup withholding or information reporting.</w:t>
      </w:r>
    </w:p>
    <w:p>
      <w:pPr>
        <w:spacing w:after="0" w:line="81"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596E80"/>
        </w:rPr>
        <w:t>Copies of information returns that are filed with the IRS may also be made available under the provisions of an applicable treaty or agreement to the tax authorities of the country in which the non-U.S. holder resides or is established.</w:t>
      </w:r>
    </w:p>
    <w:p>
      <w:pPr>
        <w:spacing w:after="0" w:line="61"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596E8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Additional Withholding Tax on Payments Made to Foreign Accounts</w:t>
      </w:r>
    </w:p>
    <w:p>
      <w:pPr>
        <w:spacing w:after="0" w:line="121"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596E80"/>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(including deemed dividends) on, or (subject to the proposed Treasury Regulations discussed below) gross proceeds from the sale or other disposition of, our common stock or pre-funded warrants paid to a “foreign financial institution” or a “non-financial foreign entity” ​(each as defined in the Code), unless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596E80"/>
        </w:rPr>
        <w:t>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81"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596E80"/>
        </w:rPr>
        <w:t>Under the applicable Treasury Regulations and administrative guidance, withholding under FATCA generally applies to payments of dividends (including deemed dividends) on our common stock or pre-funded warrants.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 Because we may not know the extent to which a distribution is a dividend for U.S. federal income tax purposes at the time it is made, for purposes of these withholding rules, we or the applicable withholding agent may treat the entire distribution as a dividend.</w:t>
      </w:r>
    </w:p>
    <w:p>
      <w:pPr>
        <w:spacing w:after="0" w:line="84"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596E80"/>
        </w:rPr>
        <w:t>Prospective investors should consult their tax advisors regarding the potential application of withholding under FATCA to their investment in our common stock or pre-funded warrants.</w:t>
      </w:r>
    </w:p>
    <w:p>
      <w:pPr>
        <w:spacing w:after="0" w:line="54" w:lineRule="exact"/>
        <w:rPr>
          <w:sz w:val="20"/>
          <w:szCs w:val="20"/>
          <w:color w:val="auto"/>
        </w:rPr>
      </w:pPr>
    </w:p>
    <w:p>
      <w:pPr>
        <w:ind w:left="1260" w:right="439"/>
        <w:spacing w:after="0" w:line="274" w:lineRule="auto"/>
        <w:rPr>
          <w:sz w:val="20"/>
          <w:szCs w:val="20"/>
          <w:color w:val="auto"/>
        </w:rPr>
      </w:pPr>
      <w:r>
        <w:rPr>
          <w:rFonts w:ascii="Times New Roman" w:cs="Times New Roman" w:eastAsia="Times New Roman" w:hAnsi="Times New Roman"/>
          <w:sz w:val="17"/>
          <w:szCs w:val="17"/>
          <w:color w:val="596E80"/>
        </w:rPr>
        <w:t>THIS DISCUSSION IS NOT TAX ADVICE. INVESTORS SHOULD CONSULT THEIR TAX ADVISORS WITH RESPECT TO THE APPLICATION OF THE U.S. FEDERAL INCOME TAX LAWS TO THEIR PARTICULAR SITUATIONS AS WELL AS ANY TAX CONSEQUENCES OF THE PURCHASE, OWNERSHIP, AND DISPOSITION OF OUR COMMON STOCK OR PRE-FUNDED WARRANTS ARISING UNDER THE U.S. FEDERAL ESTATE OR GIFT TAX LAWS OR UNDER THE LAWS OF ANY STATE, LOCAL, OR NON-U.S. TAXING JURISDICTION OR UNDER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596E80"/>
        </w:rPr>
        <w:t>UNDERWRITING</w:t>
      </w:r>
    </w:p>
    <w:p>
      <w:pPr>
        <w:spacing w:after="0" w:line="121"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596E80"/>
        </w:rPr>
        <w:t>Subject to the terms and conditions set forth in the underwriting agreement among us, Piper Sandler &amp; Co., Guggenheim Securities, LLC and Truist Securities, Inc., as the representatives of the underwriters named below and H.C. Wainwright &amp; Co., LLC and Needham &amp; Company, LLC, as co-lead managers, we have agreed to sell to the underwriters, and each of the underwriters has agreed, severally and not jointly, to purchase from us, at the public offering price less the underwriting discount and commissions set forth on the cover page of this prospectus supplement, the number of shares of common stock and pre-funded warrants listed opposite its name below.</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596E80"/>
                <w:w w:val="95"/>
              </w:rPr>
              <w:t>Number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596E80"/>
              </w:rPr>
              <w:t>Number</w:t>
            </w:r>
          </w:p>
        </w:tc>
        <w:tc>
          <w:tcPr>
            <w:tcW w:w="2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596E80"/>
              </w:rPr>
              <w:t>Pre-Funded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0"/>
        </w:trPr>
        <w:tc>
          <w:tcPr>
            <w:tcW w:w="6260" w:type="dxa"/>
            <w:vAlign w:val="bottom"/>
            <w:tcBorders>
              <w:bottom w:val="single" w:sz="8" w:color="596E80"/>
            </w:tcBorders>
          </w:tcPr>
          <w:p>
            <w:pPr>
              <w:spacing w:after="0"/>
              <w:rPr>
                <w:sz w:val="20"/>
                <w:szCs w:val="20"/>
                <w:color w:val="auto"/>
              </w:rPr>
            </w:pPr>
            <w:r>
              <w:rPr>
                <w:rFonts w:ascii="Times New Roman" w:cs="Times New Roman" w:eastAsia="Times New Roman" w:hAnsi="Times New Roman"/>
                <w:sz w:val="14"/>
                <w:szCs w:val="14"/>
                <w:b w:val="1"/>
                <w:bCs w:val="1"/>
                <w:color w:val="596E80"/>
              </w:rPr>
              <w:t>Underwriter</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596E80"/>
              </w:rPr>
              <w:t>​ ​</w:t>
            </w:r>
          </w:p>
        </w:tc>
        <w:tc>
          <w:tcPr>
            <w:tcW w:w="660" w:type="dxa"/>
            <w:vAlign w:val="bottom"/>
            <w:tcBorders>
              <w:bottom w:val="single" w:sz="8" w:color="596E80"/>
            </w:tcBorders>
          </w:tcPr>
          <w:p>
            <w:pPr>
              <w:ind w:left="20"/>
              <w:spacing w:after="0"/>
              <w:rPr>
                <w:sz w:val="20"/>
                <w:szCs w:val="20"/>
                <w:color w:val="auto"/>
              </w:rPr>
            </w:pPr>
            <w:r>
              <w:rPr>
                <w:rFonts w:ascii="Times New Roman" w:cs="Times New Roman" w:eastAsia="Times New Roman" w:hAnsi="Times New Roman"/>
                <w:sz w:val="14"/>
                <w:szCs w:val="14"/>
                <w:b w:val="1"/>
                <w:bCs w:val="1"/>
                <w:color w:val="596E80"/>
              </w:rPr>
              <w:t>of Shares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596E80"/>
              </w:rPr>
              <w:t>​ ​</w:t>
            </w:r>
          </w:p>
        </w:tc>
        <w:tc>
          <w:tcPr>
            <w:tcW w:w="100" w:type="dxa"/>
            <w:vAlign w:val="bottom"/>
            <w:tcBorders>
              <w:bottom w:val="single" w:sz="8" w:color="596E80"/>
            </w:tcBorders>
          </w:tcPr>
          <w:p>
            <w:pPr>
              <w:spacing w:after="0"/>
              <w:rPr>
                <w:sz w:val="17"/>
                <w:szCs w:val="17"/>
                <w:color w:val="auto"/>
              </w:rPr>
            </w:pPr>
          </w:p>
        </w:tc>
        <w:tc>
          <w:tcPr>
            <w:tcW w:w="660" w:type="dxa"/>
            <w:vAlign w:val="bottom"/>
            <w:tcBorders>
              <w:bottom w:val="single" w:sz="8" w:color="596E80"/>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596E80"/>
              </w:rPr>
              <w:t>Warrants</w:t>
            </w:r>
          </w:p>
        </w:tc>
        <w:tc>
          <w:tcPr>
            <w:tcW w:w="20" w:type="dxa"/>
            <w:vAlign w:val="bottom"/>
            <w:tcBorders>
              <w:bottom w:val="single" w:sz="8" w:color="596E80"/>
            </w:tcBorders>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596E80"/>
              </w:rPr>
              <w:t>​</w:t>
            </w:r>
          </w:p>
        </w:tc>
      </w:tr>
      <w:tr>
        <w:trPr>
          <w:trHeight w:val="23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596E80"/>
              </w:rPr>
              <w:t>Piper Sandler &amp; Co.</w:t>
            </w: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596E80"/>
              </w:rPr>
              <w:t>​ ​​1,393,806​​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596E80"/>
              </w:rPr>
              <w:t>92,920</w:t>
            </w:r>
          </w:p>
        </w:tc>
        <w:tc>
          <w:tcPr>
            <w:tcW w:w="20" w:type="dxa"/>
            <w:vAlign w:val="bottom"/>
          </w:tcPr>
          <w:p>
            <w:pPr>
              <w:spacing w:after="0"/>
              <w:rPr>
                <w:sz w:val="20"/>
                <w:szCs w:val="20"/>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596E80"/>
              </w:rPr>
              <w:t>​​</w:t>
            </w:r>
          </w:p>
        </w:tc>
      </w:tr>
      <w:tr>
        <w:trPr>
          <w:trHeight w:val="25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596E80"/>
              </w:rPr>
              <w:t>Guggenheim Securities, LLC</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596E80"/>
              </w:rPr>
              <w:t>​ ​​</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596E80"/>
              </w:rPr>
              <w:t>862,832​​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596E80"/>
              </w:rPr>
              <w:t>57,522</w:t>
            </w:r>
          </w:p>
        </w:tc>
        <w:tc>
          <w:tcPr>
            <w:tcW w:w="2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596E80"/>
              </w:rPr>
              <w:t>​​</w:t>
            </w:r>
          </w:p>
        </w:tc>
      </w:tr>
      <w:tr>
        <w:trPr>
          <w:trHeight w:val="25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596E80"/>
              </w:rPr>
              <w:t>Truist Securities, Inc.</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596E80"/>
              </w:rPr>
              <w:t>​ ​​</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596E80"/>
              </w:rPr>
              <w:t>696,903​​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596E80"/>
              </w:rPr>
              <w:t>46,460</w:t>
            </w:r>
          </w:p>
        </w:tc>
        <w:tc>
          <w:tcPr>
            <w:tcW w:w="2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596E80"/>
              </w:rPr>
              <w:t>​​</w:t>
            </w:r>
          </w:p>
        </w:tc>
      </w:tr>
      <w:tr>
        <w:trPr>
          <w:trHeight w:val="25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596E80"/>
              </w:rPr>
              <w:t>H.C. Wainwright &amp; Co., LLC</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596E80"/>
              </w:rPr>
              <w:t>​ ​​</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596E80"/>
              </w:rPr>
              <w:t>199,115​​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596E80"/>
              </w:rPr>
              <w:t>13,274</w:t>
            </w:r>
          </w:p>
        </w:tc>
        <w:tc>
          <w:tcPr>
            <w:tcW w:w="2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596E80"/>
              </w:rPr>
              <w:t>​​</w:t>
            </w:r>
          </w:p>
        </w:tc>
      </w:tr>
      <w:tr>
        <w:trPr>
          <w:trHeight w:val="27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596E80"/>
              </w:rPr>
              <w:t>Needham &amp; Company, LLC</w:t>
            </w:r>
          </w:p>
        </w:tc>
        <w:tc>
          <w:tcPr>
            <w:tcW w:w="280" w:type="dxa"/>
            <w:vAlign w:val="bottom"/>
          </w:tcPr>
          <w:p>
            <w:pPr>
              <w:ind w:left="40"/>
              <w:spacing w:after="0" w:line="269" w:lineRule="exact"/>
              <w:rPr>
                <w:sz w:val="20"/>
                <w:szCs w:val="20"/>
                <w:color w:val="auto"/>
              </w:rPr>
            </w:pPr>
            <w:r>
              <w:rPr>
                <w:rFonts w:ascii="Times New Roman" w:cs="Times New Roman" w:eastAsia="Times New Roman" w:hAnsi="Times New Roman"/>
                <w:sz w:val="17"/>
                <w:szCs w:val="17"/>
                <w:color w:val="596E80"/>
              </w:rPr>
              <w:t>​ ​​</w:t>
            </w:r>
            <w:r>
              <w:rPr>
                <w:rFonts w:ascii="Times New Roman" w:cs="Times New Roman" w:eastAsia="Times New Roman" w:hAnsi="Times New Roman"/>
                <w:sz w:val="31"/>
                <w:szCs w:val="31"/>
                <w:color w:val="596E80"/>
                <w:vertAlign w:val="superscript"/>
              </w:rPr>
              <w:t>​</w:t>
            </w:r>
          </w:p>
        </w:tc>
        <w:tc>
          <w:tcPr>
            <w:tcW w:w="980" w:type="dxa"/>
            <w:vAlign w:val="bottom"/>
            <w:gridSpan w:val="3"/>
          </w:tcPr>
          <w:p>
            <w:pPr>
              <w:ind w:left="80"/>
              <w:spacing w:after="0" w:line="269" w:lineRule="exact"/>
              <w:rPr>
                <w:sz w:val="20"/>
                <w:szCs w:val="20"/>
                <w:color w:val="auto"/>
              </w:rPr>
            </w:pPr>
            <w:r>
              <w:rPr>
                <w:rFonts w:ascii="Times New Roman" w:cs="Times New Roman" w:eastAsia="Times New Roman" w:hAnsi="Times New Roman"/>
                <w:sz w:val="17"/>
                <w:szCs w:val="17"/>
                <w:color w:val="596E80"/>
              </w:rPr>
              <w:t>165,929</w:t>
            </w:r>
            <w:r>
              <w:rPr>
                <w:rFonts w:ascii="Times New Roman" w:cs="Times New Roman" w:eastAsia="Times New Roman" w:hAnsi="Times New Roman"/>
                <w:sz w:val="31"/>
                <w:szCs w:val="31"/>
                <w:color w:val="596E80"/>
                <w:vertAlign w:val="subscript"/>
              </w:rPr>
              <w:t>​​ ​</w:t>
            </w:r>
            <w:r>
              <w:rPr>
                <w:rFonts w:ascii="Times New Roman" w:cs="Times New Roman" w:eastAsia="Times New Roman" w:hAnsi="Times New Roman"/>
                <w:sz w:val="17"/>
                <w:szCs w:val="17"/>
                <w:color w:val="596E80"/>
              </w:rPr>
              <w:t xml:space="preserve"> </w:t>
            </w:r>
            <w:r>
              <w:rPr>
                <w:rFonts w:ascii="Times New Roman" w:cs="Times New Roman" w:eastAsia="Times New Roman" w:hAnsi="Times New Roman"/>
                <w:sz w:val="31"/>
                <w:szCs w:val="31"/>
                <w:color w:val="596E80"/>
                <w:vertAlign w:val="sub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596E80"/>
              </w:rPr>
              <w:t>11,062</w:t>
            </w:r>
          </w:p>
        </w:tc>
        <w:tc>
          <w:tcPr>
            <w:tcW w:w="20" w:type="dxa"/>
            <w:vAlign w:val="bottom"/>
          </w:tcPr>
          <w:p>
            <w:pPr>
              <w:spacing w:after="0"/>
              <w:rPr>
                <w:sz w:val="23"/>
                <w:szCs w:val="23"/>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596E80"/>
              </w:rPr>
              <w:t>​​</w:t>
            </w:r>
          </w:p>
        </w:tc>
      </w:tr>
      <w:tr>
        <w:trPr>
          <w:trHeight w:val="20"/>
        </w:trPr>
        <w:tc>
          <w:tcPr>
            <w:tcW w:w="6260" w:type="dxa"/>
            <w:vAlign w:val="bottom"/>
            <w:shd w:val="clear" w:color="auto" w:fill="CCEEFF"/>
          </w:tcPr>
          <w:p>
            <w:pPr>
              <w:spacing w:after="0" w:line="20" w:lineRule="exact"/>
              <w:rPr>
                <w:sz w:val="1"/>
                <w:szCs w:val="1"/>
                <w:color w:val="auto"/>
              </w:rPr>
            </w:pPr>
          </w:p>
        </w:tc>
        <w:tc>
          <w:tcPr>
            <w:tcW w:w="280" w:type="dxa"/>
            <w:vAlign w:val="bottom"/>
            <w:tcBorders>
              <w:right w:val="single" w:sz="8" w:color="596E80"/>
            </w:tcBorders>
            <w:shd w:val="clear" w:color="auto" w:fill="CCEEFF"/>
          </w:tcPr>
          <w:p>
            <w:pPr>
              <w:spacing w:after="0" w:line="20" w:lineRule="exact"/>
              <w:rPr>
                <w:sz w:val="1"/>
                <w:szCs w:val="1"/>
                <w:color w:val="auto"/>
              </w:rPr>
            </w:pPr>
          </w:p>
        </w:tc>
        <w:tc>
          <w:tcPr>
            <w:tcW w:w="660" w:type="dxa"/>
            <w:vAlign w:val="bottom"/>
            <w:shd w:val="clear" w:color="auto" w:fill="596E8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right w:val="single" w:sz="8" w:color="596E80"/>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596E80"/>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596E80"/>
              </w:rPr>
              <w:t>Total</w:t>
            </w:r>
          </w:p>
        </w:tc>
        <w:tc>
          <w:tcPr>
            <w:tcW w:w="2000" w:type="dxa"/>
            <w:vAlign w:val="bottom"/>
            <w:gridSpan w:val="8"/>
          </w:tcPr>
          <w:p>
            <w:pPr>
              <w:ind w:left="40"/>
              <w:spacing w:after="0" w:line="264" w:lineRule="exact"/>
              <w:rPr>
                <w:sz w:val="20"/>
                <w:szCs w:val="20"/>
                <w:color w:val="auto"/>
              </w:rPr>
            </w:pPr>
            <w:r>
              <w:rPr>
                <w:rFonts w:ascii="Times New Roman" w:cs="Times New Roman" w:eastAsia="Times New Roman" w:hAnsi="Times New Roman"/>
                <w:sz w:val="30"/>
                <w:szCs w:val="30"/>
                <w:color w:val="596E80"/>
                <w:vertAlign w:val="subscript"/>
              </w:rPr>
              <w:t>​ ​​</w:t>
            </w:r>
            <w:r>
              <w:rPr>
                <w:rFonts w:ascii="Times New Roman" w:cs="Times New Roman" w:eastAsia="Times New Roman" w:hAnsi="Times New Roman"/>
                <w:sz w:val="16"/>
                <w:szCs w:val="16"/>
                <w:color w:val="596E80"/>
              </w:rPr>
              <w:t>​3,318,585</w:t>
            </w:r>
            <w:r>
              <w:rPr>
                <w:rFonts w:ascii="Times New Roman" w:cs="Times New Roman" w:eastAsia="Times New Roman" w:hAnsi="Times New Roman"/>
                <w:sz w:val="30"/>
                <w:szCs w:val="30"/>
                <w:color w:val="596E80"/>
                <w:vertAlign w:val="subscript"/>
              </w:rPr>
              <w:t>​​ ​</w:t>
            </w:r>
            <w:r>
              <w:rPr>
                <w:rFonts w:ascii="Times New Roman" w:cs="Times New Roman" w:eastAsia="Times New Roman" w:hAnsi="Times New Roman"/>
                <w:sz w:val="16"/>
                <w:szCs w:val="16"/>
                <w:color w:val="596E80"/>
              </w:rPr>
              <w:t xml:space="preserve"> </w:t>
            </w:r>
            <w:r>
              <w:rPr>
                <w:rFonts w:ascii="Times New Roman" w:cs="Times New Roman" w:eastAsia="Times New Roman" w:hAnsi="Times New Roman"/>
                <w:sz w:val="30"/>
                <w:szCs w:val="30"/>
                <w:color w:val="596E80"/>
                <w:vertAlign w:val="subscript"/>
              </w:rPr>
              <w:t>​</w:t>
            </w:r>
            <w:r>
              <w:rPr>
                <w:rFonts w:ascii="Times New Roman" w:cs="Times New Roman" w:eastAsia="Times New Roman" w:hAnsi="Times New Roman"/>
                <w:sz w:val="16"/>
                <w:szCs w:val="16"/>
                <w:color w:val="596E80"/>
              </w:rPr>
              <w:t xml:space="preserve"> 221,238 </w:t>
            </w:r>
            <w:r>
              <w:rPr>
                <w:rFonts w:ascii="Times New Roman" w:cs="Times New Roman" w:eastAsia="Times New Roman" w:hAnsi="Times New Roman"/>
                <w:sz w:val="30"/>
                <w:szCs w:val="30"/>
                <w:color w:val="596E80"/>
                <w:vertAlign w:val="subscript"/>
              </w:rPr>
              <w:t>​​</w:t>
            </w:r>
          </w:p>
        </w:tc>
      </w:tr>
      <w:tr>
        <w:trPr>
          <w:trHeight w:val="20"/>
        </w:trPr>
        <w:tc>
          <w:tcPr>
            <w:tcW w:w="6260" w:type="dxa"/>
            <w:vAlign w:val="bottom"/>
          </w:tcPr>
          <w:p>
            <w:pPr>
              <w:spacing w:after="0" w:line="20" w:lineRule="exact"/>
              <w:rPr>
                <w:sz w:val="1"/>
                <w:szCs w:val="1"/>
                <w:color w:val="auto"/>
              </w:rPr>
            </w:pPr>
          </w:p>
        </w:tc>
        <w:tc>
          <w:tcPr>
            <w:tcW w:w="280" w:type="dxa"/>
            <w:vAlign w:val="bottom"/>
            <w:tcBorders>
              <w:right w:val="single" w:sz="8" w:color="596E80"/>
            </w:tcBorders>
          </w:tcPr>
          <w:p>
            <w:pPr>
              <w:spacing w:after="0" w:line="20" w:lineRule="exact"/>
              <w:rPr>
                <w:sz w:val="1"/>
                <w:szCs w:val="1"/>
                <w:color w:val="auto"/>
              </w:rPr>
            </w:pPr>
          </w:p>
        </w:tc>
        <w:tc>
          <w:tcPr>
            <w:tcW w:w="660" w:type="dxa"/>
            <w:vAlign w:val="bottom"/>
            <w:shd w:val="clear" w:color="auto" w:fill="596E8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596E80"/>
            </w:tcBorders>
          </w:tcPr>
          <w:p>
            <w:pPr>
              <w:spacing w:after="0" w:line="20" w:lineRule="exact"/>
              <w:rPr>
                <w:sz w:val="1"/>
                <w:szCs w:val="1"/>
                <w:color w:val="auto"/>
              </w:rPr>
            </w:pPr>
          </w:p>
        </w:tc>
        <w:tc>
          <w:tcPr>
            <w:tcW w:w="640" w:type="dxa"/>
            <w:vAlign w:val="bottom"/>
            <w:tcBorders>
              <w:right w:val="single" w:sz="8" w:color="596E80"/>
            </w:tcBorders>
            <w:shd w:val="clear" w:color="auto" w:fill="596E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-685165</wp:posOffset>
            </wp:positionV>
            <wp:extent cx="52120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-359410</wp:posOffset>
            </wp:positionV>
            <wp:extent cx="52120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-1010920</wp:posOffset>
            </wp:positionV>
            <wp:extent cx="521208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64"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596E80"/>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if any of them are purchased. If an underwriter defaults, the underwriting agreement provides that the purchase commitments of the nondefaulting underwriters may be increased or the underwriting agreement may be terminated.</w:t>
      </w:r>
    </w:p>
    <w:p>
      <w:pPr>
        <w:spacing w:after="0" w:line="87"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596E80"/>
        </w:rPr>
        <w:t>The underwriters are offering the shares of common stock and the pre-funded warrants subject to their acceptance of the shares of common stock and the pre-funded warrants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Option to Purchase Additional Shares</w:t>
      </w:r>
    </w:p>
    <w:p>
      <w:pPr>
        <w:spacing w:after="0" w:line="121"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color w:val="596E80"/>
        </w:rPr>
        <w:t>We have granted the underwriters an option to purchase up to 530,973 additional shares of common stock from us.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Discounts, Commissions and Expenses</w:t>
      </w:r>
    </w:p>
    <w:p>
      <w:pPr>
        <w:spacing w:after="0" w:line="121" w:lineRule="exact"/>
        <w:rPr>
          <w:sz w:val="20"/>
          <w:szCs w:val="20"/>
          <w:color w:val="auto"/>
        </w:rPr>
      </w:pPr>
    </w:p>
    <w:p>
      <w:pPr>
        <w:ind w:left="1260" w:right="559"/>
        <w:spacing w:after="0" w:line="255" w:lineRule="auto"/>
        <w:rPr>
          <w:sz w:val="20"/>
          <w:szCs w:val="20"/>
          <w:color w:val="auto"/>
        </w:rPr>
      </w:pPr>
      <w:r>
        <w:rPr>
          <w:rFonts w:ascii="Times New Roman" w:cs="Times New Roman" w:eastAsia="Times New Roman" w:hAnsi="Times New Roman"/>
          <w:sz w:val="18"/>
          <w:szCs w:val="18"/>
          <w:color w:val="596E80"/>
        </w:rPr>
        <w:t>The underwriters have advised us that they propose to offer the shares of common stock and the pre-funded warrants to the public at the public offering price set forth on the cover of this prospectus supplement and to certain dealers, which may include the underwriters, at that price less a concession not in excess of  $2.034 per share of common stock and $2.0339964 per underlying shares of the pre-funded warrants. After the offering, if all of the shares of common stock and pre-funded warrants are not sold at the public offering price, the public offering price and concession may be reduced by the representatives. No such reduction will change the amount of proceeds to be received by us as set forth on the cover of this prospectus supplement.</w:t>
      </w:r>
    </w:p>
    <w:p>
      <w:pPr>
        <w:spacing w:after="0" w:line="81"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596E80"/>
        </w:rPr>
        <w:t>The underwriting fee is equal to the public offering price per share of common stock and the pre-funded warrants less the amount paid by the underwriters to us per share of common stock. The following table shows the per share and pre-funded warrants and total underwriting discount and commissions to be paid to the underwriters in connection with this offering, assuming both no exercise and full exercise of the underwriters’ option to purchase additional shares:</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596E80"/>
              </w:rPr>
              <w:t>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596E80"/>
              </w:rPr>
              <w:t>Total</w:t>
            </w:r>
          </w:p>
        </w:tc>
        <w:tc>
          <w:tcPr>
            <w:tcW w:w="60" w:type="dxa"/>
            <w:vAlign w:val="bottom"/>
          </w:tcPr>
          <w:p>
            <w:pPr>
              <w:spacing w:after="0"/>
              <w:rPr>
                <w:sz w:val="14"/>
                <w:szCs w:val="14"/>
                <w:color w:val="auto"/>
              </w:rPr>
            </w:pPr>
          </w:p>
        </w:tc>
      </w:tr>
      <w:tr>
        <w:trPr>
          <w:trHeight w:val="162"/>
        </w:trPr>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596E80"/>
              </w:rPr>
              <w:t>Per</w:t>
            </w:r>
          </w:p>
        </w:tc>
        <w:tc>
          <w:tcPr>
            <w:tcW w:w="11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596E80"/>
              </w:rPr>
              <w:t>Without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596E80"/>
              </w:rPr>
              <w:t>With Full</w:t>
            </w:r>
          </w:p>
        </w:tc>
        <w:tc>
          <w:tcPr>
            <w:tcW w:w="60" w:type="dxa"/>
            <w:vAlign w:val="bottom"/>
          </w:tcPr>
          <w:p>
            <w:pPr>
              <w:spacing w:after="0"/>
              <w:rPr>
                <w:sz w:val="14"/>
                <w:szCs w:val="14"/>
                <w:color w:val="auto"/>
              </w:rPr>
            </w:pPr>
          </w:p>
        </w:tc>
      </w:tr>
      <w:tr>
        <w:trPr>
          <w:trHeight w:val="162"/>
        </w:trPr>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596E80"/>
              </w:rPr>
              <w:t>Pre-Funded</w:t>
            </w:r>
          </w:p>
        </w:tc>
        <w:tc>
          <w:tcPr>
            <w:tcW w:w="11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596E80"/>
              </w:rPr>
              <w:t>Option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596E80"/>
              </w:rPr>
              <w:t>Option</w:t>
            </w:r>
          </w:p>
        </w:tc>
        <w:tc>
          <w:tcPr>
            <w:tcW w:w="60" w:type="dxa"/>
            <w:vAlign w:val="bottom"/>
          </w:tcPr>
          <w:p>
            <w:pPr>
              <w:spacing w:after="0"/>
              <w:rPr>
                <w:sz w:val="14"/>
                <w:szCs w:val="14"/>
                <w:color w:val="auto"/>
              </w:rPr>
            </w:pPr>
          </w:p>
        </w:tc>
      </w:tr>
      <w:tr>
        <w:trPr>
          <w:trHeight w:val="20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596E80"/>
              </w:rPr>
              <w:t>​</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596E80"/>
              </w:rPr>
              <w:t>​ ​ Per Share</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596E80"/>
              </w:rPr>
              <w:t>​ ​</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596E80"/>
              </w:rPr>
              <w:t>Warrant   ​ ​</w:t>
            </w:r>
          </w:p>
        </w:tc>
        <w:tc>
          <w:tcPr>
            <w:tcW w:w="11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596E80"/>
              </w:rPr>
              <w:t>Exercise</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596E80"/>
              </w:rPr>
              <w:t>​ ​</w:t>
            </w: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596E80"/>
              </w:rPr>
              <w:t>Exercise</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596E80"/>
              </w:rPr>
              <w:t>​</w:t>
            </w:r>
          </w:p>
        </w:tc>
      </w:tr>
      <w:tr>
        <w:trPr>
          <w:trHeight w:val="20"/>
        </w:trPr>
        <w:tc>
          <w:tcPr>
            <w:tcW w:w="3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gridSpan w:val="2"/>
            <w:shd w:val="clear" w:color="auto" w:fill="596E8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gridSpan w:val="2"/>
            <w:shd w:val="clear" w:color="auto" w:fill="596E8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596E80"/>
          </w:tcPr>
          <w:p>
            <w:pPr>
              <w:spacing w:after="0" w:line="20" w:lineRule="exact"/>
              <w:rPr>
                <w:sz w:val="1"/>
                <w:szCs w:val="1"/>
                <w:color w:val="auto"/>
              </w:rPr>
            </w:pPr>
          </w:p>
        </w:tc>
        <w:tc>
          <w:tcPr>
            <w:tcW w:w="1180" w:type="dxa"/>
            <w:vAlign w:val="bottom"/>
            <w:shd w:val="clear" w:color="auto" w:fill="596E8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596E80"/>
          </w:tcPr>
          <w:p>
            <w:pPr>
              <w:spacing w:after="0" w:line="20" w:lineRule="exact"/>
              <w:rPr>
                <w:sz w:val="1"/>
                <w:szCs w:val="1"/>
                <w:color w:val="auto"/>
              </w:rPr>
            </w:pPr>
          </w:p>
        </w:tc>
        <w:tc>
          <w:tcPr>
            <w:tcW w:w="1160" w:type="dxa"/>
            <w:vAlign w:val="bottom"/>
            <w:shd w:val="clear" w:color="auto" w:fill="596E8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596E80"/>
              </w:rPr>
              <w:t>Public offering price</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rPr>
              <w:t>​ ​ ​$ 56.50</w:t>
            </w:r>
          </w:p>
        </w:tc>
        <w:tc>
          <w:tcPr>
            <w:tcW w:w="15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596E80"/>
              </w:rPr>
              <w:t>​​ ​​$ 56.499900​​ ​​$</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596E80"/>
              </w:rPr>
              <w:t>199,999,977.38​​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rPr>
              <w:t>229,999,951.88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596E80"/>
              </w:rPr>
              <w:t>​</w:t>
            </w:r>
          </w:p>
        </w:tc>
      </w:tr>
      <w:tr>
        <w:trPr>
          <w:trHeight w:val="31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596E80"/>
              </w:rPr>
              <w:t>Underwriting discount and commissions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596E80"/>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596E80"/>
              </w:rPr>
              <w:t>3.39</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596E80"/>
              </w:rPr>
              <w:t>​​ ​​$</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596E80"/>
              </w:rPr>
              <w:t>3.389994​​ ​​$</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596E80"/>
              </w:rPr>
              <w:t>11,999,998.64​​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596E80"/>
              </w:rPr>
              <w:t>13,799,997.11​</w:t>
            </w:r>
          </w:p>
        </w:tc>
      </w:tr>
      <w:tr>
        <w:trPr>
          <w:trHeight w:val="297"/>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596E80"/>
              </w:rPr>
              <w:t>Proceeds, before expenses, to us</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596E80"/>
              </w:rPr>
              <w:t>​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rPr>
              <w:t>53.11</w:t>
            </w:r>
          </w:p>
        </w:tc>
        <w:tc>
          <w:tcPr>
            <w:tcW w:w="15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596E80"/>
              </w:rPr>
              <w:t>​​ ​​$ 53.109906​​ ​​$</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596E80"/>
              </w:rPr>
              <w:t>187,999,978.73​​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596E80"/>
              </w:rPr>
              <w:t>216,199,954.76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596E8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-582295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-582295</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-582295</wp:posOffset>
            </wp:positionV>
            <wp:extent cx="26574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0"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596E80"/>
        </w:rPr>
        <w:t>We estimate that the total fees and expenses payable by us in connection with this offering, excluding underwriting discount and commissions referred to above, will be approximately $420,000. We have also agreed to reimburse the underwriters (i) for certain expenses incurred by them in connection with the offering, in an amount not to exceed $150,000 and (ii) up to $15,000 for their FINRA counsel fee.</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Indemnification of Underwriters</w:t>
      </w:r>
    </w:p>
    <w:p>
      <w:pPr>
        <w:spacing w:after="0" w:line="121" w:lineRule="exact"/>
        <w:rPr>
          <w:sz w:val="20"/>
          <w:szCs w:val="20"/>
          <w:color w:val="auto"/>
        </w:rPr>
      </w:pPr>
    </w:p>
    <w:p>
      <w:pPr>
        <w:ind w:left="1260" w:right="519"/>
        <w:spacing w:after="0" w:line="312" w:lineRule="auto"/>
        <w:rPr>
          <w:sz w:val="20"/>
          <w:szCs w:val="20"/>
          <w:color w:val="auto"/>
        </w:rPr>
      </w:pPr>
      <w:r>
        <w:rPr>
          <w:rFonts w:ascii="Times New Roman" w:cs="Times New Roman" w:eastAsia="Times New Roman" w:hAnsi="Times New Roman"/>
          <w:sz w:val="17"/>
          <w:szCs w:val="17"/>
          <w:color w:val="596E80"/>
        </w:rPr>
        <w:t>We have agreed to indemnify the underwriters against certain liabilities, including liabilities under the Securities Act, or to contribute to payments that the underwriters may be required to make in respect of those liabilities.</w:t>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Listing</w:t>
      </w:r>
    </w:p>
    <w:p>
      <w:pPr>
        <w:spacing w:after="0" w:line="121"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596E80"/>
        </w:rPr>
        <w:t>Our common stock is listed on the Nasdaq Global Select Market under the symbol “PRAX.” We do not intend to list the pre-funded warrants on Nasdaq, any other nationally recognized securities exchange or any other nationally recognized trading system.</w:t>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No Sales of Similar Securities</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596E80"/>
        </w:rPr>
        <w:t>We, our officers and directors have agreed, subject to specified exceptions, not to directly or indirectly:</w:t>
      </w:r>
    </w:p>
    <w:p>
      <w:pPr>
        <w:spacing w:after="0" w:line="117" w:lineRule="exact"/>
        <w:rPr>
          <w:sz w:val="20"/>
          <w:szCs w:val="20"/>
          <w:color w:val="auto"/>
        </w:rPr>
      </w:pPr>
    </w:p>
    <w:p>
      <w:pPr>
        <w:ind w:left="1840" w:right="479" w:hanging="220"/>
        <w:spacing w:after="0" w:line="266" w:lineRule="auto"/>
        <w:tabs>
          <w:tab w:leader="none" w:pos="1840" w:val="left"/>
        </w:tabs>
        <w:numPr>
          <w:ilvl w:val="0"/>
          <w:numId w:val="16"/>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sell, offer, contract or grant any option to sell (including any short sale), pledge, transfer, establish an open “put equivalent position” within the meaning of Rule 16a-l(h) under the Securities Exchange Act of 1934, as amended, or</w:t>
      </w:r>
    </w:p>
    <w:p>
      <w:pPr>
        <w:spacing w:after="0" w:line="67" w:lineRule="exact"/>
        <w:rPr>
          <w:rFonts w:ascii="Times New Roman" w:cs="Times New Roman" w:eastAsia="Times New Roman" w:hAnsi="Times New Roman"/>
          <w:sz w:val="18"/>
          <w:szCs w:val="18"/>
          <w:color w:val="596E80"/>
        </w:rPr>
      </w:pPr>
    </w:p>
    <w:p>
      <w:pPr>
        <w:ind w:left="1840" w:right="519" w:hanging="220"/>
        <w:spacing w:after="0" w:line="266" w:lineRule="auto"/>
        <w:tabs>
          <w:tab w:leader="none" w:pos="1840" w:val="left"/>
        </w:tabs>
        <w:numPr>
          <w:ilvl w:val="0"/>
          <w:numId w:val="16"/>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67" w:lineRule="exact"/>
        <w:rPr>
          <w:rFonts w:ascii="Times New Roman" w:cs="Times New Roman" w:eastAsia="Times New Roman" w:hAnsi="Times New Roman"/>
          <w:sz w:val="18"/>
          <w:szCs w:val="18"/>
          <w:color w:val="596E80"/>
        </w:rPr>
      </w:pPr>
    </w:p>
    <w:p>
      <w:pPr>
        <w:ind w:left="1840" w:right="739" w:hanging="220"/>
        <w:spacing w:after="0" w:line="282" w:lineRule="auto"/>
        <w:tabs>
          <w:tab w:leader="none" w:pos="1840" w:val="left"/>
        </w:tabs>
        <w:numPr>
          <w:ilvl w:val="0"/>
          <w:numId w:val="16"/>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publicly announce an intention to do any of the foregoing for a period of 60 days after the date of this prospectus without the prior written consent of Piper Sandler &amp; Co.</w:t>
      </w:r>
    </w:p>
    <w:p>
      <w:pPr>
        <w:spacing w:after="0" w:line="32" w:lineRule="exact"/>
        <w:rPr>
          <w:sz w:val="20"/>
          <w:szCs w:val="20"/>
          <w:color w:val="auto"/>
        </w:rPr>
      </w:pPr>
    </w:p>
    <w:p>
      <w:pPr>
        <w:ind w:left="1260" w:right="579"/>
        <w:spacing w:after="0" w:line="236" w:lineRule="auto"/>
        <w:rPr>
          <w:sz w:val="20"/>
          <w:szCs w:val="20"/>
          <w:color w:val="auto"/>
        </w:rPr>
      </w:pPr>
      <w:r>
        <w:rPr>
          <w:rFonts w:ascii="Times New Roman" w:cs="Times New Roman" w:eastAsia="Times New Roman" w:hAnsi="Times New Roman"/>
          <w:sz w:val="18"/>
          <w:szCs w:val="18"/>
          <w:color w:val="596E80"/>
        </w:rPr>
        <w:t>This restriction terminates after the close of trading of the common stock on and including the 60</w:t>
      </w:r>
      <w:r>
        <w:rPr>
          <w:rFonts w:ascii="Times New Roman" w:cs="Times New Roman" w:eastAsia="Times New Roman" w:hAnsi="Times New Roman"/>
          <w:sz w:val="26"/>
          <w:szCs w:val="26"/>
          <w:color w:val="596E80"/>
          <w:vertAlign w:val="superscript"/>
        </w:rPr>
        <w:t>th</w:t>
      </w:r>
      <w:r>
        <w:rPr>
          <w:rFonts w:ascii="Times New Roman" w:cs="Times New Roman" w:eastAsia="Times New Roman" w:hAnsi="Times New Roman"/>
          <w:sz w:val="18"/>
          <w:szCs w:val="18"/>
          <w:color w:val="596E80"/>
        </w:rPr>
        <w:t xml:space="preserve"> day after the date of this prospectus (the “Lock-Up Period”). The lock-up restrictions will not apply to issuance of common stock upon the exercise of the pre-funded warrants during the Lock-Up Period.</w:t>
      </w:r>
    </w:p>
    <w:p>
      <w:pPr>
        <w:spacing w:after="0" w:line="90"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596E80"/>
        </w:rPr>
        <w:t>Piper Sandler &amp; Co. may, in its sole discretion and at any time or from time to time before the termination of the Lock-Up Period release all or any portion of the securities subject to lock-up agreements. Except for certain lock-up exceptions, there are no existing agreements between the underwriters and us and any of our shareholders who will execute a lock-up agreement, providing consent to the sale of shares prior to the expiration of the lock-up period.</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Price Stabilization, Short Positions and Penalty Bids</w:t>
      </w:r>
    </w:p>
    <w:p>
      <w:pPr>
        <w:spacing w:after="0" w:line="121" w:lineRule="exact"/>
        <w:rPr>
          <w:sz w:val="20"/>
          <w:szCs w:val="20"/>
          <w:color w:val="auto"/>
        </w:rPr>
      </w:pPr>
    </w:p>
    <w:p>
      <w:pPr>
        <w:ind w:left="1260" w:right="539"/>
        <w:spacing w:after="0" w:line="256" w:lineRule="auto"/>
        <w:rPr>
          <w:sz w:val="20"/>
          <w:szCs w:val="20"/>
          <w:color w:val="auto"/>
        </w:rPr>
      </w:pPr>
      <w:r>
        <w:rPr>
          <w:rFonts w:ascii="Times New Roman" w:cs="Times New Roman" w:eastAsia="Times New Roman" w:hAnsi="Times New Roman"/>
          <w:sz w:val="18"/>
          <w:szCs w:val="18"/>
          <w:color w:val="596E80"/>
        </w:rPr>
        <w:t>The underwriters have advised us that, pursuant to Regulation M under the Exchange Act, the underwriters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79" w:lineRule="exact"/>
        <w:rPr>
          <w:sz w:val="20"/>
          <w:szCs w:val="20"/>
          <w:color w:val="auto"/>
        </w:rPr>
      </w:pPr>
    </w:p>
    <w:p>
      <w:pPr>
        <w:ind w:left="1260" w:right="1019"/>
        <w:spacing w:after="0" w:line="266" w:lineRule="auto"/>
        <w:rPr>
          <w:sz w:val="20"/>
          <w:szCs w:val="20"/>
          <w:color w:val="auto"/>
        </w:rPr>
      </w:pPr>
      <w:r>
        <w:rPr>
          <w:rFonts w:ascii="Times New Roman" w:cs="Times New Roman" w:eastAsia="Times New Roman" w:hAnsi="Times New Roman"/>
          <w:sz w:val="18"/>
          <w:szCs w:val="18"/>
          <w:color w:val="596E80"/>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from</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596E80"/>
        </w:rPr>
        <w:t>us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from us through the option to purchase additional shares.</w:t>
      </w:r>
    </w:p>
    <w:p>
      <w:pPr>
        <w:spacing w:after="0" w:line="83" w:lineRule="exact"/>
        <w:rPr>
          <w:sz w:val="20"/>
          <w:szCs w:val="20"/>
          <w:color w:val="auto"/>
        </w:rPr>
      </w:pPr>
    </w:p>
    <w:p>
      <w:pPr>
        <w:ind w:left="1260" w:right="499"/>
        <w:spacing w:after="0" w:line="246" w:lineRule="auto"/>
        <w:rPr>
          <w:sz w:val="20"/>
          <w:szCs w:val="20"/>
          <w:color w:val="auto"/>
        </w:rPr>
      </w:pPr>
      <w:r>
        <w:rPr>
          <w:rFonts w:ascii="Times New Roman" w:cs="Times New Roman" w:eastAsia="Times New Roman" w:hAnsi="Times New Roman"/>
          <w:sz w:val="18"/>
          <w:szCs w:val="18"/>
          <w:color w:val="596E80"/>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73"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596E80"/>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shares of common stock originally sold by such syndicate member are purchased in a syndicate covering transaction and therefore have not been effectively placed by such syndicate member.</w:t>
      </w:r>
    </w:p>
    <w:p>
      <w:pPr>
        <w:spacing w:after="0" w:line="75"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596E80"/>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6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596E80"/>
        </w:rPr>
        <w:t>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If passive market making is commenced, it may be discontinued at any time.</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Electronic Distribution</w:t>
      </w:r>
    </w:p>
    <w:p>
      <w:pPr>
        <w:spacing w:after="0" w:line="121"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596E80"/>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and pre-funded warrants for sale to online brokerage account holders. Any such allocation for online distributions will be made by the underwriters on the same basis as other allocations. Other than the prospectus in electronic format, the information on each underwriter’s or its affiliates’ websites and any information contained in any other website maintained by any of the underwriters or an affiliate is not part of this prospectus supplement, has not been approved and/or endorsed by us or the underwriters and should not be relied upon by investors.</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Other Activities and Relationships</w:t>
      </w:r>
    </w:p>
    <w:p>
      <w:pPr>
        <w:spacing w:after="0" w:line="121"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596E80"/>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In addition, from time to time, certain of the underwriters and their respective affiliates may effect transactions for their own account or the account of customers, and hold on behalf of themselves or their customers, long or short positions in our debt or equity securities or loans, and may do so in the future</w:t>
      </w: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Selling Restrictions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General</w:t>
      </w:r>
    </w:p>
    <w:p>
      <w:pPr>
        <w:spacing w:after="0" w:line="121"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596E80"/>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European Economic Area</w:t>
      </w:r>
    </w:p>
    <w:p>
      <w:pPr>
        <w:spacing w:after="0" w:line="121"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596E80"/>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w:t>
      </w:r>
    </w:p>
    <w:p>
      <w:pPr>
        <w:spacing w:after="0" w:line="74" w:lineRule="exact"/>
        <w:rPr>
          <w:sz w:val="20"/>
          <w:szCs w:val="20"/>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to any legal entity which is a qualified investor as defined under Article 2 of the Prospectus Regulation;</w:t>
      </w:r>
    </w:p>
    <w:p>
      <w:pPr>
        <w:spacing w:after="0" w:line="117" w:lineRule="exact"/>
        <w:rPr>
          <w:rFonts w:ascii="Times New Roman" w:cs="Times New Roman" w:eastAsia="Times New Roman" w:hAnsi="Times New Roman"/>
          <w:sz w:val="18"/>
          <w:szCs w:val="18"/>
          <w:color w:val="596E80"/>
        </w:rPr>
      </w:pPr>
    </w:p>
    <w:p>
      <w:pPr>
        <w:ind w:left="1980" w:right="599" w:hanging="360"/>
        <w:spacing w:after="0" w:line="282" w:lineRule="auto"/>
        <w:tabs>
          <w:tab w:leader="none" w:pos="1980" w:val="left"/>
        </w:tabs>
        <w:numPr>
          <w:ilvl w:val="0"/>
          <w:numId w:val="17"/>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to fewer than 150 natural or legal persons (other than qualified investors as defined under Article 2 of the Prospectus Regulation), subject to obtaining the prior consent of the underwriters; or</w:t>
      </w:r>
    </w:p>
    <w:p>
      <w:pPr>
        <w:spacing w:after="0" w:line="40" w:lineRule="exact"/>
        <w:rPr>
          <w:rFonts w:ascii="Times New Roman" w:cs="Times New Roman" w:eastAsia="Times New Roman" w:hAnsi="Times New Roman"/>
          <w:sz w:val="18"/>
          <w:szCs w:val="18"/>
          <w:color w:val="596E80"/>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in any other circumstances falling within Article 1(4) of the Prospectus Regulation,</w:t>
      </w:r>
    </w:p>
    <w:p>
      <w:pPr>
        <w:spacing w:after="0" w:line="117"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596E80"/>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75"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596E80"/>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United Kingdom</w:t>
      </w:r>
    </w:p>
    <w:p>
      <w:pPr>
        <w:spacing w:after="0" w:line="121"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596E80"/>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61" w:lineRule="exact"/>
        <w:rPr>
          <w:sz w:val="20"/>
          <w:szCs w:val="20"/>
          <w:color w:val="auto"/>
        </w:rPr>
      </w:pPr>
    </w:p>
    <w:p>
      <w:pPr>
        <w:ind w:left="1980" w:right="1019" w:hanging="360"/>
        <w:spacing w:after="0" w:line="282" w:lineRule="auto"/>
        <w:tabs>
          <w:tab w:leader="none" w:pos="1980" w:val="left"/>
        </w:tabs>
        <w:numPr>
          <w:ilvl w:val="0"/>
          <w:numId w:val="1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to any legal entity which is a qualified investor as defined under Article 2 of the UK Prospectus Regulation;</w:t>
      </w:r>
    </w:p>
    <w:p>
      <w:pPr>
        <w:spacing w:after="0" w:line="53" w:lineRule="exact"/>
        <w:rPr>
          <w:rFonts w:ascii="Times New Roman" w:cs="Times New Roman" w:eastAsia="Times New Roman" w:hAnsi="Times New Roman"/>
          <w:sz w:val="18"/>
          <w:szCs w:val="18"/>
          <w:color w:val="596E80"/>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to fewer than 150 natural or legal persons (other than qualified investors as defined under</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spacing w:after="0" w:line="282" w:lineRule="auto"/>
        <w:rPr>
          <w:sz w:val="20"/>
          <w:szCs w:val="20"/>
          <w:color w:val="auto"/>
        </w:rPr>
      </w:pPr>
      <w:r>
        <w:rPr>
          <w:rFonts w:ascii="Times New Roman" w:cs="Times New Roman" w:eastAsia="Times New Roman" w:hAnsi="Times New Roman"/>
          <w:sz w:val="18"/>
          <w:szCs w:val="18"/>
          <w:color w:val="596E80"/>
        </w:rPr>
        <w:t>Article 2 of the UK Prospectus Regulation), subject to obtaining the prior consent of the representatives for any such offer; or</w:t>
      </w:r>
    </w:p>
    <w:p>
      <w:pPr>
        <w:spacing w:after="0" w:line="40" w:lineRule="exact"/>
        <w:rPr>
          <w:sz w:val="20"/>
          <w:szCs w:val="20"/>
          <w:color w:val="auto"/>
        </w:rPr>
      </w:pPr>
    </w:p>
    <w:p>
      <w:pPr>
        <w:ind w:left="1620"/>
        <w:spacing w:after="0"/>
        <w:tabs>
          <w:tab w:leader="none" w:pos="1960" w:val="left"/>
        </w:tabs>
        <w:rPr>
          <w:sz w:val="20"/>
          <w:szCs w:val="20"/>
          <w:color w:val="auto"/>
        </w:rPr>
      </w:pPr>
      <w:r>
        <w:rPr>
          <w:rFonts w:ascii="Times New Roman" w:cs="Times New Roman" w:eastAsia="Times New Roman" w:hAnsi="Times New Roman"/>
          <w:sz w:val="18"/>
          <w:szCs w:val="18"/>
          <w:color w:val="596E80"/>
        </w:rPr>
        <w:t>(c)</w:t>
      </w:r>
      <w:r>
        <w:rPr>
          <w:sz w:val="20"/>
          <w:szCs w:val="20"/>
          <w:color w:val="auto"/>
        </w:rPr>
        <w:tab/>
      </w:r>
      <w:r>
        <w:rPr>
          <w:rFonts w:ascii="Times New Roman" w:cs="Times New Roman" w:eastAsia="Times New Roman" w:hAnsi="Times New Roman"/>
          <w:sz w:val="17"/>
          <w:szCs w:val="17"/>
          <w:color w:val="596E80"/>
        </w:rPr>
        <w:t>in any other circumstances falling within Section 86 of the FSMA;</w:t>
      </w:r>
    </w:p>
    <w:p>
      <w:pPr>
        <w:spacing w:after="0" w:line="117"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596E80"/>
        </w:rPr>
        <w:t>provided that no such offer of the shares shall require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73"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596E80"/>
        </w:rPr>
        <w:t>Any invitation or inducement to engage in investment activity (within the meaning of Section 21 of the FSMA) in connection with the issue or sale of the shares may only be communicated or caused to be communicated in circumstances in which Section 21(1) of the FSMA does not apply to us.</w:t>
      </w:r>
    </w:p>
    <w:p>
      <w:pPr>
        <w:spacing w:after="0" w:line="61" w:lineRule="exact"/>
        <w:rPr>
          <w:sz w:val="20"/>
          <w:szCs w:val="20"/>
          <w:color w:val="auto"/>
        </w:rPr>
      </w:pPr>
    </w:p>
    <w:p>
      <w:pPr>
        <w:ind w:left="1260" w:right="639"/>
        <w:spacing w:after="0" w:line="258" w:lineRule="auto"/>
        <w:rPr>
          <w:sz w:val="20"/>
          <w:szCs w:val="20"/>
          <w:color w:val="auto"/>
        </w:rPr>
      </w:pPr>
      <w:r>
        <w:rPr>
          <w:rFonts w:ascii="Times New Roman" w:cs="Times New Roman" w:eastAsia="Times New Roman" w:hAnsi="Times New Roman"/>
          <w:sz w:val="18"/>
          <w:szCs w:val="18"/>
          <w:color w:val="596E80"/>
        </w:rPr>
        <w:t>All applicable provisions of the FSMA must be complied with in respect to anything done by any person in relation to the shares of our common stock and pre-funded warrants in, from or otherwise involving the United Kingdom.</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Canada</w:t>
      </w:r>
    </w:p>
    <w:p>
      <w:pPr>
        <w:spacing w:after="0" w:line="121" w:lineRule="exact"/>
        <w:rPr>
          <w:sz w:val="20"/>
          <w:szCs w:val="20"/>
          <w:color w:val="auto"/>
        </w:rPr>
      </w:pPr>
    </w:p>
    <w:p>
      <w:pPr>
        <w:ind w:left="1260" w:right="619"/>
        <w:spacing w:after="0" w:line="247" w:lineRule="auto"/>
        <w:rPr>
          <w:sz w:val="20"/>
          <w:szCs w:val="20"/>
          <w:color w:val="auto"/>
        </w:rPr>
      </w:pPr>
      <w:r>
        <w:rPr>
          <w:rFonts w:ascii="Times New Roman" w:cs="Times New Roman" w:eastAsia="Times New Roman" w:hAnsi="Times New Roman"/>
          <w:sz w:val="18"/>
          <w:szCs w:val="18"/>
          <w:color w:val="596E80"/>
        </w:rPr>
        <w:t>The shares and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w:t>
      </w:r>
    </w:p>
    <w:p>
      <w:pPr>
        <w:spacing w:after="0" w:line="2"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596E80"/>
        </w:rPr>
        <w:t>31-103 Registration Requirements, Exemptions and Ongoing Registrant Obligations. Any resale of the shares and pre-funded warrants must be made in accordance with an exemption from, or in a transaction not subject to, the prospectus requirements of applicable securities laws.</w:t>
      </w:r>
    </w:p>
    <w:p>
      <w:pPr>
        <w:spacing w:after="0" w:line="73"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596E8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2"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596E80"/>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Germany</w:t>
      </w:r>
    </w:p>
    <w:p>
      <w:pPr>
        <w:spacing w:after="0" w:line="121"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596E80"/>
        </w:rPr>
        <w:t>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and pre-funded warrants. In particular, each underwriter has represented that it has not engaged and has agreed that it will not engage in a public offering in the Federal Republic of Germany within the meaning of the Act with respect to any of the shares of our common stock and pre-funded warrants otherwise than in accordance with the Act and all other applicable legal and regulatory requirements.</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Hong Kong</w:t>
      </w:r>
    </w:p>
    <w:p>
      <w:pPr>
        <w:spacing w:after="0" w:line="121"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596E80"/>
        </w:rPr>
        <w:t>The shares of common stock and pre-funded warrants have not been and will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596E80"/>
        </w:rPr>
        <w:t>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of common stock and pre-funded warrants which are or are intended to be disposed of only to persons outside Hong Kong or only to “professional investors” within the meaning of the Securities and Futures Ordinance (Cap. 571, Laws of Hong Kong) and any rules made thereunder.</w:t>
      </w:r>
    </w:p>
    <w:p>
      <w:pPr>
        <w:spacing w:after="0" w:line="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Israel</w:t>
      </w:r>
    </w:p>
    <w:p>
      <w:pPr>
        <w:spacing w:after="0" w:line="121"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596E80"/>
        </w:rPr>
        <w:t>In the State of Israel this prospectus supplement shall not be regarded as an offer to the public to purchase shares of common stock and pre-funded warrants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common stock and pre-funded warrants to any person within the State of Israel, other than to Qualified Investors and up to 35 Addressed Investors.</w:t>
      </w:r>
    </w:p>
    <w:p>
      <w:pPr>
        <w:spacing w:after="0" w:line="7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596E80"/>
        </w:rPr>
        <w:t>Qualified Investors may have to submit written evidence that they meet the definitions set out in of the First Addendum to the Israeli Securities Law, 5728-1968. In particular, we may request, as a condition to be offered common stock and pre-funded warrants,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and pre-funded warrants; (iv) that the shares of common stock and pre-funded warrants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Singapore</w:t>
      </w:r>
    </w:p>
    <w:p>
      <w:pPr>
        <w:spacing w:after="0" w:line="121"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596E80"/>
        </w:rPr>
        <w:t>Each underwriter has acknowledged that this prospectus supplement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81" w:lineRule="exact"/>
        <w:rPr>
          <w:sz w:val="20"/>
          <w:szCs w:val="20"/>
          <w:color w:val="auto"/>
        </w:rPr>
      </w:pPr>
    </w:p>
    <w:p>
      <w:pPr>
        <w:jc w:val="both"/>
        <w:ind w:left="1980" w:right="459" w:hanging="360"/>
        <w:spacing w:after="0" w:line="312" w:lineRule="auto"/>
        <w:tabs>
          <w:tab w:leader="none" w:pos="1980" w:val="left"/>
        </w:tabs>
        <w:numPr>
          <w:ilvl w:val="0"/>
          <w:numId w:val="19"/>
        </w:numPr>
        <w:rPr>
          <w:rFonts w:ascii="Times New Roman" w:cs="Times New Roman" w:eastAsia="Times New Roman" w:hAnsi="Times New Roman"/>
          <w:sz w:val="17"/>
          <w:szCs w:val="17"/>
          <w:color w:val="596E80"/>
        </w:rPr>
      </w:pPr>
      <w:r>
        <w:rPr>
          <w:rFonts w:ascii="Times New Roman" w:cs="Times New Roman" w:eastAsia="Times New Roman" w:hAnsi="Times New Roman"/>
          <w:sz w:val="17"/>
          <w:szCs w:val="17"/>
          <w:color w:val="596E80"/>
        </w:rPr>
        <w:t>to an institutional investor (as defined in Section 4A of the Securities and Futures Act (Chapter 289) of Singapore, as modified or amended from time to time (the “SFA”)) pursuant to Section 274 of the SFA;</w:t>
      </w:r>
    </w:p>
    <w:p>
      <w:pPr>
        <w:spacing w:after="0" w:line="31" w:lineRule="exact"/>
        <w:rPr>
          <w:rFonts w:ascii="Times New Roman" w:cs="Times New Roman" w:eastAsia="Times New Roman" w:hAnsi="Times New Roman"/>
          <w:sz w:val="17"/>
          <w:szCs w:val="17"/>
          <w:color w:val="596E80"/>
        </w:rPr>
      </w:pPr>
    </w:p>
    <w:p>
      <w:pPr>
        <w:ind w:left="1980" w:right="459" w:hanging="360"/>
        <w:spacing w:after="0" w:line="282" w:lineRule="auto"/>
        <w:tabs>
          <w:tab w:leader="none" w:pos="1980" w:val="left"/>
        </w:tabs>
        <w:numPr>
          <w:ilvl w:val="0"/>
          <w:numId w:val="19"/>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to a relevant person (as defined in Section 275(2) of the SFA) pursuant to Section 275(1) of the SFA, or to any person pursuant to an offer referred to in Section 275(1A) of the SFA, and in</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596E80"/>
        </w:rPr>
        <w:t>accordance with the conditions specified in Section 275 of the SFA and (where applicable)</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596E80"/>
        </w:rPr>
        <w:t>Regulation 3 of the Securities and Futures (Classes of Investors) Regulations 2018; or</w:t>
      </w:r>
    </w:p>
    <w:p>
      <w:pPr>
        <w:spacing w:after="0" w:line="112" w:lineRule="exact"/>
        <w:rPr>
          <w:sz w:val="20"/>
          <w:szCs w:val="20"/>
          <w:color w:val="auto"/>
        </w:rPr>
      </w:pPr>
    </w:p>
    <w:p>
      <w:pPr>
        <w:ind w:left="1980" w:right="599" w:hanging="360"/>
        <w:spacing w:after="0" w:line="282" w:lineRule="auto"/>
        <w:tabs>
          <w:tab w:leader="none" w:pos="1980" w:val="left"/>
        </w:tabs>
        <w:numPr>
          <w:ilvl w:val="0"/>
          <w:numId w:val="20"/>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otherwise pursuant to, and in accordance with the conditions of, any other applicable provision of the SFA.</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596E80"/>
        </w:rPr>
        <w:t>Where the shares are subscribed for or acquired under Section 275 of the SFA by a relevant person which is:</w:t>
      </w:r>
    </w:p>
    <w:p>
      <w:pPr>
        <w:spacing w:after="0" w:line="117" w:lineRule="exact"/>
        <w:rPr>
          <w:sz w:val="20"/>
          <w:szCs w:val="20"/>
          <w:color w:val="auto"/>
        </w:rPr>
      </w:pPr>
    </w:p>
    <w:p>
      <w:pPr>
        <w:ind w:left="1980" w:right="499" w:hanging="360"/>
        <w:spacing w:after="0" w:line="266" w:lineRule="auto"/>
        <w:tabs>
          <w:tab w:leader="none" w:pos="1980" w:val="left"/>
        </w:tabs>
        <w:numPr>
          <w:ilvl w:val="0"/>
          <w:numId w:val="21"/>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596E80"/>
        </w:rPr>
      </w:pPr>
    </w:p>
    <w:p>
      <w:pPr>
        <w:ind w:left="1980" w:right="619" w:hanging="360"/>
        <w:spacing w:after="0" w:line="282" w:lineRule="auto"/>
        <w:tabs>
          <w:tab w:leader="none" w:pos="1980" w:val="left"/>
        </w:tabs>
        <w:numPr>
          <w:ilvl w:val="0"/>
          <w:numId w:val="21"/>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a trust (where the trustee is not an accredited investor) whose sole purpose is to hold investments and each beneficiary of the trust is an individual who is an accredited investor,</w:t>
      </w:r>
    </w:p>
    <w:p>
      <w:pPr>
        <w:spacing w:after="0" w:line="54"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596E80"/>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subscribed for or acquired the shares pursuant to an offer made under Section 275 of the SFA except:</w:t>
      </w:r>
    </w:p>
    <w:p>
      <w:pPr>
        <w:spacing w:after="0" w:line="72" w:lineRule="exact"/>
        <w:rPr>
          <w:sz w:val="20"/>
          <w:szCs w:val="20"/>
          <w:color w:val="auto"/>
        </w:rPr>
      </w:pPr>
    </w:p>
    <w:p>
      <w:pPr>
        <w:jc w:val="both"/>
        <w:ind w:left="1980" w:right="539" w:hanging="360"/>
        <w:spacing w:after="0" w:line="266" w:lineRule="auto"/>
        <w:tabs>
          <w:tab w:leader="none" w:pos="1980" w:val="left"/>
        </w:tabs>
        <w:numPr>
          <w:ilvl w:val="0"/>
          <w:numId w:val="2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to an institutional investor or to a relevant person, or to any person arising from an offer referred to in Section 275(1A) of the SFA (in the case of that corporation) or Section 276(4)(i)(B) of the SFA (in the case of that trust);</w:t>
      </w:r>
    </w:p>
    <w:p>
      <w:pPr>
        <w:spacing w:after="0" w:line="67" w:lineRule="exact"/>
        <w:rPr>
          <w:rFonts w:ascii="Times New Roman" w:cs="Times New Roman" w:eastAsia="Times New Roman" w:hAnsi="Times New Roman"/>
          <w:sz w:val="18"/>
          <w:szCs w:val="18"/>
          <w:color w:val="596E80"/>
        </w:rPr>
      </w:pPr>
    </w:p>
    <w:p>
      <w:pPr>
        <w:ind w:left="1980" w:hanging="360"/>
        <w:spacing w:after="0"/>
        <w:tabs>
          <w:tab w:leader="none" w:pos="1980" w:val="left"/>
        </w:tabs>
        <w:numPr>
          <w:ilvl w:val="0"/>
          <w:numId w:val="2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where no consideration is or will be given for the transfer;</w:t>
      </w:r>
    </w:p>
    <w:p>
      <w:pPr>
        <w:spacing w:after="0" w:line="117" w:lineRule="exact"/>
        <w:rPr>
          <w:rFonts w:ascii="Times New Roman" w:cs="Times New Roman" w:eastAsia="Times New Roman" w:hAnsi="Times New Roman"/>
          <w:sz w:val="18"/>
          <w:szCs w:val="18"/>
          <w:color w:val="596E80"/>
        </w:rPr>
      </w:pPr>
    </w:p>
    <w:p>
      <w:pPr>
        <w:ind w:left="1980" w:hanging="360"/>
        <w:spacing w:after="0"/>
        <w:tabs>
          <w:tab w:leader="none" w:pos="1980" w:val="left"/>
        </w:tabs>
        <w:numPr>
          <w:ilvl w:val="0"/>
          <w:numId w:val="2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where the transfer is by operation of law;</w:t>
      </w:r>
    </w:p>
    <w:p>
      <w:pPr>
        <w:spacing w:after="0" w:line="117" w:lineRule="exact"/>
        <w:rPr>
          <w:rFonts w:ascii="Times New Roman" w:cs="Times New Roman" w:eastAsia="Times New Roman" w:hAnsi="Times New Roman"/>
          <w:sz w:val="18"/>
          <w:szCs w:val="18"/>
          <w:color w:val="596E80"/>
        </w:rPr>
      </w:pPr>
    </w:p>
    <w:p>
      <w:pPr>
        <w:ind w:left="1980" w:hanging="360"/>
        <w:spacing w:after="0"/>
        <w:tabs>
          <w:tab w:leader="none" w:pos="1980" w:val="left"/>
        </w:tabs>
        <w:numPr>
          <w:ilvl w:val="0"/>
          <w:numId w:val="2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as specified in Section 276(7) of the SFA; or</w:t>
      </w:r>
    </w:p>
    <w:p>
      <w:pPr>
        <w:spacing w:after="0" w:line="117" w:lineRule="exact"/>
        <w:rPr>
          <w:rFonts w:ascii="Times New Roman" w:cs="Times New Roman" w:eastAsia="Times New Roman" w:hAnsi="Times New Roman"/>
          <w:sz w:val="18"/>
          <w:szCs w:val="18"/>
          <w:color w:val="596E80"/>
        </w:rPr>
      </w:pPr>
    </w:p>
    <w:p>
      <w:pPr>
        <w:ind w:left="1980" w:right="719" w:hanging="360"/>
        <w:spacing w:after="0" w:line="282" w:lineRule="auto"/>
        <w:tabs>
          <w:tab w:leader="none" w:pos="1980" w:val="left"/>
        </w:tabs>
        <w:numPr>
          <w:ilvl w:val="0"/>
          <w:numId w:val="22"/>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as specified in Regulation 37A of the Securities and Futures (Offers of Investments) (Securities and Securities-based Derivatives Contracts) Regulations 2018.</w:t>
      </w:r>
    </w:p>
    <w:p>
      <w:pPr>
        <w:spacing w:after="0" w:line="54" w:lineRule="exact"/>
        <w:rPr>
          <w:sz w:val="20"/>
          <w:szCs w:val="20"/>
          <w:color w:val="auto"/>
        </w:rPr>
      </w:pPr>
    </w:p>
    <w:p>
      <w:pPr>
        <w:ind w:left="1260" w:right="779"/>
        <w:spacing w:after="0" w:line="257" w:lineRule="auto"/>
        <w:rPr>
          <w:sz w:val="20"/>
          <w:szCs w:val="20"/>
          <w:color w:val="auto"/>
        </w:rPr>
      </w:pPr>
      <w:r>
        <w:rPr>
          <w:rFonts w:ascii="Times New Roman" w:cs="Times New Roman" w:eastAsia="Times New Roman" w:hAnsi="Times New Roman"/>
          <w:sz w:val="18"/>
          <w:szCs w:val="18"/>
          <w:color w:val="596E80"/>
        </w:rPr>
        <w:t>Singapore SFA Product Classification—In connection with Section 309B of the SFA and the Securities and Futures (Capital Markets Products) Regulations 2018 (“CMP Regulations 2018”), unless otherwise specified before an offer of shares, we have determined, and hereby notify all relevant persons (as defined in</w:t>
      </w:r>
    </w:p>
    <w:p>
      <w:pPr>
        <w:spacing w:after="0" w:line="1" w:lineRule="exact"/>
        <w:rPr>
          <w:sz w:val="20"/>
          <w:szCs w:val="20"/>
          <w:color w:val="auto"/>
        </w:rPr>
      </w:pPr>
    </w:p>
    <w:p>
      <w:pPr>
        <w:ind w:left="1260" w:right="539"/>
        <w:spacing w:after="0" w:line="277" w:lineRule="auto"/>
        <w:rPr>
          <w:sz w:val="20"/>
          <w:szCs w:val="20"/>
          <w:color w:val="auto"/>
        </w:rPr>
      </w:pPr>
      <w:r>
        <w:rPr>
          <w:rFonts w:ascii="Times New Roman" w:cs="Times New Roman" w:eastAsia="Times New Roman" w:hAnsi="Times New Roman"/>
          <w:sz w:val="17"/>
          <w:szCs w:val="17"/>
          <w:color w:val="596E80"/>
        </w:rPr>
        <w:t>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Switzerland</w:t>
      </w:r>
    </w:p>
    <w:p>
      <w:pPr>
        <w:spacing w:after="0" w:line="121" w:lineRule="exact"/>
        <w:rPr>
          <w:sz w:val="20"/>
          <w:szCs w:val="20"/>
          <w:color w:val="auto"/>
        </w:rPr>
      </w:pPr>
    </w:p>
    <w:p>
      <w:pPr>
        <w:ind w:left="1260" w:right="499"/>
        <w:spacing w:after="0" w:line="254" w:lineRule="auto"/>
        <w:rPr>
          <w:sz w:val="20"/>
          <w:szCs w:val="20"/>
          <w:color w:val="auto"/>
        </w:rPr>
      </w:pPr>
      <w:r>
        <w:rPr>
          <w:rFonts w:ascii="Times New Roman" w:cs="Times New Roman" w:eastAsia="Times New Roman" w:hAnsi="Times New Roman"/>
          <w:sz w:val="18"/>
          <w:szCs w:val="18"/>
          <w:color w:val="596E80"/>
        </w:rPr>
        <w:t>The shares of common stock and pre-funded warrants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and pre-funded warrants or the offering may be publicly distributed or otherwise made publicly available in Switzerland.</w:t>
      </w:r>
    </w:p>
    <w:p>
      <w:pPr>
        <w:spacing w:after="0" w:line="84"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596E80"/>
        </w:rPr>
        <w:t>Neither this document nor any other offering or marketing material relating to the offering, or the shares of common stock and pre-funded warrants have been or will be filed with or approved by any Swiss regulatory authority. In particular, this document will not be filed with, and the offer of the shares of common stock and pre-funded warrants will not be supervised by, the Swiss Financial Market Supervisory Authority FINMA, and the offer of the shares of common stock and pre-funded warrants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w:t>
      </w: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596E80"/>
        </w:rPr>
        <w:t>to acquirers of interests in collective investment schemes under CISA does not extend to acquirers of the shares of common stock and pre-funded warrants.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United Arab Emirates</w:t>
      </w:r>
    </w:p>
    <w:p>
      <w:pPr>
        <w:spacing w:after="0" w:line="121"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596E80"/>
        </w:rPr>
        <w:t>This offering has not been approved or licensed by the Central Bank of the United Arab Emirates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of common stock and pre-funded warrants may not be offered to the public in the UAE and/or any of the free zones.</w:t>
      </w:r>
    </w:p>
    <w:p>
      <w:pPr>
        <w:spacing w:after="0" w:line="80" w:lineRule="exact"/>
        <w:rPr>
          <w:sz w:val="20"/>
          <w:szCs w:val="20"/>
          <w:color w:val="auto"/>
        </w:rPr>
      </w:pPr>
    </w:p>
    <w:p>
      <w:pPr>
        <w:ind w:left="1260" w:right="599"/>
        <w:spacing w:after="0" w:line="266" w:lineRule="auto"/>
        <w:rPr>
          <w:sz w:val="20"/>
          <w:szCs w:val="20"/>
          <w:color w:val="auto"/>
        </w:rPr>
      </w:pPr>
      <w:r>
        <w:rPr>
          <w:rFonts w:ascii="Times New Roman" w:cs="Times New Roman" w:eastAsia="Times New Roman" w:hAnsi="Times New Roman"/>
          <w:sz w:val="18"/>
          <w:szCs w:val="18"/>
          <w:color w:val="596E80"/>
        </w:rPr>
        <w:t>The shares of common stock and pre-funded warrants may be offered and issued only to a limited number of investors in the UAE or any of its free zones who qualify as sophisticated investors under the relevant laws and regulations of the UAE or the free zone concerned.</w:t>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596E80"/>
        </w:rPr>
        <w:t>France</w:t>
      </w:r>
    </w:p>
    <w:p>
      <w:pPr>
        <w:spacing w:after="0" w:line="121" w:lineRule="exact"/>
        <w:rPr>
          <w:sz w:val="20"/>
          <w:szCs w:val="20"/>
          <w:color w:val="auto"/>
        </w:rPr>
      </w:pPr>
    </w:p>
    <w:p>
      <w:pPr>
        <w:ind w:left="1260" w:right="839"/>
        <w:spacing w:after="0" w:line="266" w:lineRule="auto"/>
        <w:rPr>
          <w:sz w:val="20"/>
          <w:szCs w:val="20"/>
          <w:color w:val="auto"/>
        </w:rPr>
      </w:pPr>
      <w:r>
        <w:rPr>
          <w:rFonts w:ascii="Times New Roman" w:cs="Times New Roman" w:eastAsia="Times New Roman" w:hAnsi="Times New Roman"/>
          <w:sz w:val="18"/>
          <w:szCs w:val="18"/>
          <w:color w:val="596E80"/>
        </w:rPr>
        <w:t>This prospectus supplement (including any amendment, supplement or replacement thereto) is not being distributed in the context of a public offering in France within the meaning of Article L. 411-1 of the French Monetary and Financial Code (Code monétaire et financier).</w:t>
      </w:r>
    </w:p>
    <w:p>
      <w:pPr>
        <w:spacing w:after="0" w:line="68"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596E80"/>
        </w:rPr>
        <w:t>This prospectus supplement has not been and will not be submitted to the French Autorité des marchés financiers (the “AMF”) for approval in France and accordingly may not and will not be distributed to the public in France.</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596E80"/>
        </w:rPr>
        <w:t>Pursuant to Article 211-3 of the AMF General Regulation, French residents are hereby informed that:</w:t>
      </w:r>
    </w:p>
    <w:p>
      <w:pPr>
        <w:spacing w:after="0" w:line="117" w:lineRule="exact"/>
        <w:rPr>
          <w:sz w:val="20"/>
          <w:szCs w:val="20"/>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transaction does not require a prospectus to be submitted for approval to the AMF;</w:t>
      </w:r>
    </w:p>
    <w:p>
      <w:pPr>
        <w:spacing w:after="0" w:line="117" w:lineRule="exact"/>
        <w:rPr>
          <w:rFonts w:ascii="Times New Roman" w:cs="Times New Roman" w:eastAsia="Times New Roman" w:hAnsi="Times New Roman"/>
          <w:sz w:val="18"/>
          <w:szCs w:val="18"/>
          <w:color w:val="596E80"/>
        </w:rPr>
      </w:pPr>
    </w:p>
    <w:p>
      <w:pPr>
        <w:ind w:left="1980" w:right="479" w:hanging="360"/>
        <w:spacing w:after="0" w:line="266" w:lineRule="auto"/>
        <w:tabs>
          <w:tab w:leader="none" w:pos="1980" w:val="left"/>
        </w:tabs>
        <w:numPr>
          <w:ilvl w:val="0"/>
          <w:numId w:val="23"/>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67" w:lineRule="exact"/>
        <w:rPr>
          <w:rFonts w:ascii="Times New Roman" w:cs="Times New Roman" w:eastAsia="Times New Roman" w:hAnsi="Times New Roman"/>
          <w:sz w:val="18"/>
          <w:szCs w:val="18"/>
          <w:color w:val="596E80"/>
        </w:rPr>
      </w:pPr>
    </w:p>
    <w:p>
      <w:pPr>
        <w:ind w:left="1980" w:right="599" w:hanging="360"/>
        <w:spacing w:after="0" w:line="266" w:lineRule="auto"/>
        <w:tabs>
          <w:tab w:leader="none" w:pos="1980" w:val="left"/>
        </w:tabs>
        <w:numPr>
          <w:ilvl w:val="0"/>
          <w:numId w:val="23"/>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the financial instruments thus acquired cannot be distributed directly or indirectly to the public otherwise than in accordance with Articles L. 411-1, L. 411-2, L. 412-1 and L. 621-8 to L. 621-8-3 of the Monetary and Financial Code.</w:t>
      </w:r>
    </w:p>
    <w:p>
      <w:pPr>
        <w:spacing w:after="0" w:line="68"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596E80"/>
        </w:rPr>
        <w:t>This prospectus supplement is not to be further distributed or reproduced (in whole or in part) in France by the recipients of this prospectus supplement. This prospectus supplement has been distributed on the understanding that such recipients will only participate in the issue or sale of our common stock and pre-funded warrants for their own account and undertake not to transfer, directly or indirectly, our common stock and pre-funded warrants to the public in France, other than in compliance with all applicable Laws and regulations and in particular with Articles L. 411-1 and L. 411-2 of the French Monetary and Financial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596E80"/>
        </w:rPr>
        <w:t>LEGAL MATTERS</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596E80"/>
        </w:rPr>
        <w:t>The validity of the shares of common stock offered hereby will be passed upon for us by Latham &amp; Watkins LLP.</w:t>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596E80"/>
        </w:rPr>
        <w:t>Mintz, Levin, Cohn, Ferris, Glovsky &amp; Popeo, P.C. is counsel to the underwriters in connection with this offering.</w:t>
      </w:r>
    </w:p>
    <w:p>
      <w:pPr>
        <w:spacing w:after="0" w:line="1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596E80"/>
        </w:rPr>
        <w:t>EXPERTS</w:t>
      </w:r>
    </w:p>
    <w:p>
      <w:pPr>
        <w:spacing w:after="0" w:line="121" w:lineRule="exact"/>
        <w:rPr>
          <w:sz w:val="20"/>
          <w:szCs w:val="20"/>
          <w:color w:val="auto"/>
        </w:rPr>
      </w:pPr>
    </w:p>
    <w:p>
      <w:pPr>
        <w:ind w:left="1260" w:right="459"/>
        <w:spacing w:after="0" w:line="276" w:lineRule="auto"/>
        <w:rPr>
          <w:rFonts w:ascii="Times New Roman" w:cs="Times New Roman" w:eastAsia="Times New Roman" w:hAnsi="Times New Roman"/>
          <w:sz w:val="17"/>
          <w:szCs w:val="17"/>
          <w:color w:val="596E80"/>
        </w:rPr>
      </w:pPr>
      <w:r>
        <w:rPr>
          <w:rFonts w:ascii="Times New Roman" w:cs="Times New Roman" w:eastAsia="Times New Roman" w:hAnsi="Times New Roman"/>
          <w:sz w:val="17"/>
          <w:szCs w:val="17"/>
          <w:color w:val="596E80"/>
        </w:rPr>
        <w:t xml:space="preserve">The consolidated financial statements of Praxis Precision Medicines, Inc. appearing in Praxis Precision Medicines, Inc.’s </w:t>
      </w:r>
      <w:hyperlink r:id="rId35">
        <w:r>
          <w:rPr>
            <w:rFonts w:ascii="Times New Roman" w:cs="Times New Roman" w:eastAsia="Times New Roman" w:hAnsi="Times New Roman"/>
            <w:sz w:val="17"/>
            <w:szCs w:val="17"/>
            <w:u w:val="single" w:color="auto"/>
            <w:color w:val="0000EE"/>
          </w:rPr>
          <w:t>Annual Report (Form 10-K) for the year ended December 31, 2023</w:t>
        </w:r>
      </w:hyperlink>
      <w:r>
        <w:rPr>
          <w:rFonts w:ascii="Times New Roman" w:cs="Times New Roman" w:eastAsia="Times New Roman" w:hAnsi="Times New Roman"/>
          <w:sz w:val="17"/>
          <w:szCs w:val="17"/>
          <w:color w:val="596E80"/>
        </w:rPr>
        <w:t>, have been audited by Ernst</w:t>
      </w:r>
    </w:p>
    <w:p>
      <w:pPr>
        <w:spacing w:after="0" w:line="1" w:lineRule="exact"/>
        <w:rPr>
          <w:sz w:val="20"/>
          <w:szCs w:val="20"/>
          <w:color w:val="auto"/>
        </w:rPr>
      </w:pPr>
    </w:p>
    <w:p>
      <w:pPr>
        <w:ind w:left="1260" w:right="459"/>
        <w:spacing w:after="0" w:line="255" w:lineRule="auto"/>
        <w:tabs>
          <w:tab w:leader="none" w:pos="1445" w:val="left"/>
        </w:tabs>
        <w:numPr>
          <w:ilvl w:val="0"/>
          <w:numId w:val="24"/>
        </w:numPr>
        <w:rPr>
          <w:rFonts w:ascii="Times New Roman" w:cs="Times New Roman" w:eastAsia="Times New Roman" w:hAnsi="Times New Roman"/>
          <w:sz w:val="18"/>
          <w:szCs w:val="18"/>
          <w:color w:val="596E80"/>
        </w:rPr>
      </w:pPr>
      <w:r>
        <w:rPr>
          <w:rFonts w:ascii="Times New Roman" w:cs="Times New Roman" w:eastAsia="Times New Roman" w:hAnsi="Times New Roman"/>
          <w:sz w:val="18"/>
          <w:szCs w:val="18"/>
          <w:color w:val="596E80"/>
        </w:rPr>
        <w:t>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939" w:firstLine="534"/>
        <w:spacing w:after="0" w:line="377" w:lineRule="auto"/>
        <w:rPr>
          <w:sz w:val="20"/>
          <w:szCs w:val="20"/>
          <w:color w:val="auto"/>
        </w:rPr>
      </w:pPr>
      <w:r>
        <w:rPr>
          <w:rFonts w:ascii="Times New Roman" w:cs="Times New Roman" w:eastAsia="Times New Roman" w:hAnsi="Times New Roman"/>
          <w:sz w:val="18"/>
          <w:szCs w:val="18"/>
          <w:b w:val="1"/>
          <w:bCs w:val="1"/>
          <w:color w:val="596E80"/>
        </w:rPr>
        <w:t>WHERE YOU CAN FIND MORE INFORMATION; INCORPORATION BY REFERENCE Available Information</w:t>
      </w:r>
    </w:p>
    <w:p>
      <w:pPr>
        <w:spacing w:after="0" w:line="2"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596E80"/>
        </w:rPr>
        <w:t>This prospectus supplement is part of a registration statement on Form S-3 that we have filed with the SEC. This prospectus supplement,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 Certain information in the registration statement has been omitted from this prospectus supplement in accordance with the rules of the SEC.</w:t>
      </w:r>
    </w:p>
    <w:p>
      <w:pPr>
        <w:spacing w:after="0" w:line="72"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596E80"/>
        </w:rPr>
        <w:t>We are subject to the reporting and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 Written requests for such copies should be directed to Praxis Precision Medicines, Inc., 99 High Street, 30th Floor, Boston, Massachusetts 02110, telephone: (617) 300-8460 and our website is located at www.praxismedicines.com. Information contained on our website is not incorporated by reference into this prospectus supplement and, therefore, is not part of this prospectus supplement.</w:t>
      </w:r>
    </w:p>
    <w:p>
      <w:pPr>
        <w:spacing w:after="0" w:line="84" w:lineRule="exact"/>
        <w:rPr>
          <w:sz w:val="20"/>
          <w:szCs w:val="20"/>
          <w:color w:val="auto"/>
        </w:rPr>
      </w:pPr>
    </w:p>
    <w:p>
      <w:pPr>
        <w:ind w:left="1260" w:right="499"/>
        <w:spacing w:after="0" w:line="256" w:lineRule="auto"/>
        <w:rPr>
          <w:sz w:val="20"/>
          <w:szCs w:val="20"/>
          <w:color w:val="auto"/>
        </w:rPr>
      </w:pPr>
      <w:r>
        <w:rPr>
          <w:rFonts w:ascii="Times New Roman" w:cs="Times New Roman" w:eastAsia="Times New Roman" w:hAnsi="Times New Roman"/>
          <w:sz w:val="18"/>
          <w:szCs w:val="18"/>
          <w:color w:val="596E80"/>
        </w:rPr>
        <w:t>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in the accompanying base prospectus. We will furnish a full statement of the relative rights and preferences of each class or series of our stock which has been so designated and any restrictions on the ownership or transfer of our stock to any shareholder upon request and without charge.</w:t>
      </w:r>
    </w:p>
    <w:p>
      <w:pPr>
        <w:spacing w:after="0" w:line="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96E80"/>
        </w:rPr>
        <w:t>Incorporation by Reference</w:t>
      </w:r>
    </w:p>
    <w:p>
      <w:pPr>
        <w:spacing w:after="0" w:line="121"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596E80"/>
        </w:rPr>
        <w:t>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and the accompanying prospectus to the extent that a statement contained in this prospectus supplement or the accompanying prospectus modifies or replaces that statement.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596E80"/>
        </w:rPr>
        <w:t>We incorporate by reference the following information or documents that we have filed with the SEC:</w:t>
      </w:r>
    </w:p>
    <w:p>
      <w:pPr>
        <w:spacing w:after="0" w:line="117" w:lineRule="exact"/>
        <w:rPr>
          <w:sz w:val="20"/>
          <w:szCs w:val="20"/>
          <w:color w:val="auto"/>
        </w:rPr>
      </w:pPr>
    </w:p>
    <w:p>
      <w:pPr>
        <w:ind w:left="1840" w:right="459" w:hanging="220"/>
        <w:spacing w:after="0" w:line="282" w:lineRule="auto"/>
        <w:tabs>
          <w:tab w:leader="none" w:pos="1840" w:val="left"/>
        </w:tabs>
        <w:numPr>
          <w:ilvl w:val="0"/>
          <w:numId w:val="25"/>
        </w:numPr>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our Annual Report on Form 10-K for the year ended December 31, 2023, filed with the SEC on March 5,</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2024;</w:t>
        </w:r>
      </w:hyperlink>
    </w:p>
    <w:p>
      <w:pPr>
        <w:spacing w:after="0" w:line="53" w:lineRule="exact"/>
        <w:rPr>
          <w:rFonts w:ascii="Times New Roman" w:cs="Times New Roman" w:eastAsia="Times New Roman" w:hAnsi="Times New Roman"/>
          <w:sz w:val="18"/>
          <w:szCs w:val="18"/>
          <w:u w:val="single" w:color="auto"/>
          <w:color w:val="0000EE"/>
        </w:rPr>
      </w:pPr>
    </w:p>
    <w:p>
      <w:pPr>
        <w:ind w:left="1840" w:right="739" w:hanging="220"/>
        <w:spacing w:after="0" w:line="282" w:lineRule="auto"/>
        <w:tabs>
          <w:tab w:leader="none" w:pos="184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596E80"/>
        </w:rPr>
        <w:t xml:space="preserve">our Current Reports on Form 8-K filed with the SEC on </w:t>
      </w:r>
      <w:hyperlink r:id="rId75">
        <w:r>
          <w:rPr>
            <w:rFonts w:ascii="Times New Roman" w:cs="Times New Roman" w:eastAsia="Times New Roman" w:hAnsi="Times New Roman"/>
            <w:sz w:val="18"/>
            <w:szCs w:val="18"/>
            <w:u w:val="single" w:color="auto"/>
            <w:color w:val="0000EE"/>
          </w:rPr>
          <w:t>January 10, 2024</w:t>
        </w:r>
        <w:r>
          <w:rPr>
            <w:rFonts w:ascii="Times New Roman" w:cs="Times New Roman" w:eastAsia="Times New Roman" w:hAnsi="Times New Roman"/>
            <w:sz w:val="18"/>
            <w:szCs w:val="18"/>
            <w:u w:val="single" w:color="auto"/>
            <w:color w:val="596E80"/>
          </w:rPr>
          <w:t xml:space="preserve"> </w:t>
        </w:r>
      </w:hyperlink>
      <w:r>
        <w:rPr>
          <w:rFonts w:ascii="Times New Roman" w:cs="Times New Roman" w:eastAsia="Times New Roman" w:hAnsi="Times New Roman"/>
          <w:sz w:val="18"/>
          <w:szCs w:val="18"/>
          <w:color w:val="596E80"/>
        </w:rPr>
        <w:t xml:space="preserve">(Items 3.02 and 8.01 only), </w:t>
      </w:r>
      <w:hyperlink r:id="rId76">
        <w:r>
          <w:rPr>
            <w:rFonts w:ascii="Times New Roman" w:cs="Times New Roman" w:eastAsia="Times New Roman" w:hAnsi="Times New Roman"/>
            <w:sz w:val="18"/>
            <w:szCs w:val="18"/>
            <w:u w:val="single" w:color="auto"/>
            <w:color w:val="0000EE"/>
          </w:rPr>
          <w:t>January 11, 2024</w:t>
        </w:r>
      </w:hyperlink>
      <w:r>
        <w:rPr>
          <w:rFonts w:ascii="Times New Roman" w:cs="Times New Roman" w:eastAsia="Times New Roman" w:hAnsi="Times New Roman"/>
          <w:sz w:val="18"/>
          <w:szCs w:val="18"/>
          <w:color w:val="596E80"/>
        </w:rPr>
        <w:t>,</w:t>
      </w:r>
      <w:r>
        <w:rPr>
          <w:rFonts w:ascii="Times New Roman" w:cs="Times New Roman" w:eastAsia="Times New Roman" w:hAnsi="Times New Roman"/>
          <w:sz w:val="18"/>
          <w:szCs w:val="18"/>
          <w:color w:val="0000EE"/>
        </w:rPr>
        <w:t xml:space="preserve"> </w:t>
      </w:r>
      <w:hyperlink r:id="rId77">
        <w:r>
          <w:rPr>
            <w:rFonts w:ascii="Times New Roman" w:cs="Times New Roman" w:eastAsia="Times New Roman" w:hAnsi="Times New Roman"/>
            <w:sz w:val="18"/>
            <w:szCs w:val="18"/>
            <w:u w:val="single" w:color="auto"/>
            <w:color w:val="0000EE"/>
          </w:rPr>
          <w:t>January 12, 2024</w:t>
        </w:r>
      </w:hyperlink>
      <w:r>
        <w:rPr>
          <w:rFonts w:ascii="Times New Roman" w:cs="Times New Roman" w:eastAsia="Times New Roman" w:hAnsi="Times New Roman"/>
          <w:sz w:val="18"/>
          <w:szCs w:val="18"/>
          <w:color w:val="596E80"/>
        </w:rPr>
        <w:t>,</w:t>
      </w:r>
      <w:r>
        <w:rPr>
          <w:rFonts w:ascii="Times New Roman" w:cs="Times New Roman" w:eastAsia="Times New Roman" w:hAnsi="Times New Roman"/>
          <w:sz w:val="18"/>
          <w:szCs w:val="18"/>
          <w:color w:val="0000EE"/>
        </w:rPr>
        <w:t xml:space="preserve"> </w:t>
      </w:r>
      <w:hyperlink r:id="rId78">
        <w:r>
          <w:rPr>
            <w:rFonts w:ascii="Times New Roman" w:cs="Times New Roman" w:eastAsia="Times New Roman" w:hAnsi="Times New Roman"/>
            <w:sz w:val="18"/>
            <w:szCs w:val="18"/>
            <w:u w:val="single" w:color="auto"/>
            <w:color w:val="0000EE"/>
          </w:rPr>
          <w:t xml:space="preserve">March 5, 2024 </w:t>
        </w:r>
      </w:hyperlink>
      <w:r>
        <w:rPr>
          <w:rFonts w:ascii="Times New Roman" w:cs="Times New Roman" w:eastAsia="Times New Roman" w:hAnsi="Times New Roman"/>
          <w:sz w:val="18"/>
          <w:szCs w:val="18"/>
          <w:color w:val="596E80"/>
        </w:rPr>
        <w:t>(Item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596E80"/>
        </w:rPr>
        <w:t>8.01 only) and</w:t>
      </w:r>
      <w:r>
        <w:rPr>
          <w:rFonts w:ascii="Times New Roman" w:cs="Times New Roman" w:eastAsia="Times New Roman" w:hAnsi="Times New Roman"/>
          <w:sz w:val="18"/>
          <w:szCs w:val="18"/>
          <w:color w:val="0000EE"/>
        </w:rPr>
        <w:t xml:space="preserve"> </w:t>
      </w:r>
      <w:hyperlink r:id="rId79">
        <w:r>
          <w:rPr>
            <w:rFonts w:ascii="Times New Roman" w:cs="Times New Roman" w:eastAsia="Times New Roman" w:hAnsi="Times New Roman"/>
            <w:sz w:val="18"/>
            <w:szCs w:val="18"/>
            <w:u w:val="single" w:color="auto"/>
            <w:color w:val="0000EE"/>
          </w:rPr>
          <w:t>March 26, 2024</w:t>
        </w:r>
      </w:hyperlink>
      <w:r>
        <w:rPr>
          <w:rFonts w:ascii="Times New Roman" w:cs="Times New Roman" w:eastAsia="Times New Roman" w:hAnsi="Times New Roman"/>
          <w:sz w:val="18"/>
          <w:szCs w:val="18"/>
          <w:color w:val="596E8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596E80"/>
        </w:rPr>
        <w:t>and</w:t>
      </w:r>
    </w:p>
    <w:p>
      <w:pPr>
        <w:spacing w:after="0" w:line="53" w:lineRule="exact"/>
        <w:rPr>
          <w:rFonts w:ascii="Times New Roman" w:cs="Times New Roman" w:eastAsia="Times New Roman" w:hAnsi="Times New Roman"/>
          <w:sz w:val="18"/>
          <w:szCs w:val="18"/>
          <w:color w:val="0000EE"/>
        </w:rPr>
      </w:pPr>
    </w:p>
    <w:p>
      <w:pPr>
        <w:ind w:left="1840" w:right="499" w:hanging="220"/>
        <w:spacing w:after="0" w:line="266" w:lineRule="auto"/>
        <w:tabs>
          <w:tab w:leader="none" w:pos="1840" w:val="left"/>
        </w:tabs>
        <w:numPr>
          <w:ilvl w:val="0"/>
          <w:numId w:val="25"/>
        </w:numPr>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the description of our common stock contained in our Registration Statement on Form 8-A filed with the</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SEC on October 14, 2020, including any amendments or reports filed for the purposes of updating this</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description.</w:t>
        </w:r>
      </w:hyperlink>
    </w:p>
    <w:p>
      <w:pPr>
        <w:spacing w:after="0" w:line="68" w:lineRule="exact"/>
        <w:rPr>
          <w:rFonts w:ascii="Times New Roman" w:cs="Times New Roman" w:eastAsia="Times New Roman" w:hAnsi="Times New Roman"/>
          <w:sz w:val="18"/>
          <w:szCs w:val="18"/>
          <w:u w:val="single" w:color="auto"/>
          <w:color w:val="0000EE"/>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596E80"/>
        </w:rPr>
        <w:t>We incorporate by reference into this prospectus supplement and accompanying prospectus all reports and other documents we subsequently file with the SEC pursuant to Sections 13(a), 13(c), 14 or 15(d) of the Securities Exchange Act of 1934, as amended, between the date of this prospectus supplement and the termination of the offering of the securities described in this prospectus supplement.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 The reports and documents specifically listed above or filed in the future (excluding any information furnished</w:t>
      </w:r>
    </w:p>
    <w:p>
      <w:pPr>
        <w:spacing w:after="0" w:line="381" w:lineRule="exact"/>
        <w:rPr>
          <w:rFonts w:ascii="Times New Roman" w:cs="Times New Roman" w:eastAsia="Times New Roman" w:hAnsi="Times New Roman"/>
          <w:sz w:val="18"/>
          <w:szCs w:val="18"/>
          <w:u w:val="single" w:color="auto"/>
          <w:color w:val="0000EE"/>
        </w:rPr>
      </w:pPr>
    </w:p>
    <w:p>
      <w:pPr>
        <w:ind w:left="5200"/>
        <w:spacing w:after="0"/>
        <w:rPr>
          <w:sz w:val="20"/>
          <w:szCs w:val="20"/>
          <w:color w:val="auto"/>
        </w:rPr>
      </w:pPr>
      <w:r>
        <w:rPr>
          <w:rFonts w:ascii="Times New Roman" w:cs="Times New Roman" w:eastAsia="Times New Roman" w:hAnsi="Times New Roman"/>
          <w:sz w:val="18"/>
          <w:szCs w:val="18"/>
          <w:color w:val="596E80"/>
        </w:rPr>
        <w:t>S-30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596E80"/>
        </w:rPr>
        <w:t>to, rather than filed with, the SEC) are deemed to be part of this prospectus supplement and accompanying prospectus from the date of the filing of such reports and documents.</w:t>
      </w:r>
    </w:p>
    <w:p>
      <w:pPr>
        <w:spacing w:after="0" w:line="54" w:lineRule="exact"/>
        <w:rPr>
          <w:sz w:val="20"/>
          <w:szCs w:val="20"/>
          <w:color w:val="auto"/>
        </w:rPr>
      </w:pPr>
    </w:p>
    <w:p>
      <w:pPr>
        <w:ind w:left="1260" w:right="699"/>
        <w:spacing w:after="0" w:line="266" w:lineRule="auto"/>
        <w:rPr>
          <w:sz w:val="20"/>
          <w:szCs w:val="20"/>
          <w:color w:val="auto"/>
        </w:rPr>
      </w:pPr>
      <w:r>
        <w:rPr>
          <w:rFonts w:ascii="Times New Roman" w:cs="Times New Roman" w:eastAsia="Times New Roman" w:hAnsi="Times New Roman"/>
          <w:sz w:val="18"/>
          <w:szCs w:val="18"/>
          <w:color w:val="596E80"/>
        </w:rPr>
        <w:t>You may request a free copy of any of the documents incorporated by reference in this prospectus supplement (other than exhibits, unless they are specifically incorporated by reference in the documents) by writing or telephoning us at the following address:</w:t>
      </w:r>
    </w:p>
    <w:p>
      <w:pPr>
        <w:spacing w:after="0" w:line="6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596E80"/>
        </w:rPr>
        <w:t>PRAXIS PRECISION MEDICINES, INC.</w:t>
      </w:r>
    </w:p>
    <w:p>
      <w:pPr>
        <w:jc w:val="center"/>
        <w:ind w:right="-820"/>
        <w:spacing w:after="0" w:line="210" w:lineRule="auto"/>
        <w:rPr>
          <w:sz w:val="20"/>
          <w:szCs w:val="20"/>
          <w:color w:val="auto"/>
        </w:rPr>
      </w:pPr>
      <w:r>
        <w:rPr>
          <w:rFonts w:ascii="Times New Roman" w:cs="Times New Roman" w:eastAsia="Times New Roman" w:hAnsi="Times New Roman"/>
          <w:sz w:val="18"/>
          <w:szCs w:val="18"/>
          <w:b w:val="1"/>
          <w:bCs w:val="1"/>
          <w:color w:val="596E80"/>
        </w:rPr>
        <w:t>99 HIGH STREET, 30</w:t>
      </w:r>
      <w:r>
        <w:rPr>
          <w:rFonts w:ascii="Times New Roman" w:cs="Times New Roman" w:eastAsia="Times New Roman" w:hAnsi="Times New Roman"/>
          <w:sz w:val="26"/>
          <w:szCs w:val="26"/>
          <w:b w:val="1"/>
          <w:bCs w:val="1"/>
          <w:color w:val="596E80"/>
          <w:vertAlign w:val="superscript"/>
        </w:rPr>
        <w:t>TH</w:t>
      </w:r>
      <w:r>
        <w:rPr>
          <w:rFonts w:ascii="Times New Roman" w:cs="Times New Roman" w:eastAsia="Times New Roman" w:hAnsi="Times New Roman"/>
          <w:sz w:val="18"/>
          <w:szCs w:val="18"/>
          <w:b w:val="1"/>
          <w:bCs w:val="1"/>
          <w:color w:val="596E80"/>
        </w:rPr>
        <w:t xml:space="preserve"> FLOOR</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596E80"/>
        </w:rPr>
        <w:t>BOSTON, MASSACHUSETTS 02110</w:t>
      </w:r>
    </w:p>
    <w:p>
      <w:pPr>
        <w:spacing w:after="0" w:line="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596E80"/>
        </w:rPr>
        <w:t>TELEPHONE: (617) 300-8460</w:t>
      </w:r>
    </w:p>
    <w:p>
      <w:pPr>
        <w:spacing w:after="0" w:line="9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596E80"/>
        </w:rPr>
        <w:t>Exhibits to the filings will not be sent, however, unless those exhibits have specifically been incorporated by reference in this prospectus supplement and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596E80"/>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311150</wp:posOffset>
            </wp:positionV>
            <wp:extent cx="1431290" cy="574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143129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PRAXIS PRECISION MEDICINES, INC.</w:t>
      </w:r>
    </w:p>
    <w:p>
      <w:pPr>
        <w:spacing w:after="0" w:line="31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$750,000,000</w:t>
      </w:r>
    </w:p>
    <w:p>
      <w:pPr>
        <w:spacing w:after="0" w:line="2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Preferred Stock</w:t>
      </w:r>
    </w:p>
    <w:p>
      <w:pPr>
        <w:ind w:left="456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5"/>
          <w:szCs w:val="25"/>
          <w:b w:val="1"/>
          <w:bCs w:val="1"/>
          <w:color w:val="auto"/>
        </w:rPr>
        <w:t>Warrants</w:t>
      </w:r>
    </w:p>
    <w:p>
      <w:pPr>
        <w:ind w:left="51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0" w:lineRule="exact"/>
        <w:rPr>
          <w:sz w:val="20"/>
          <w:szCs w:val="20"/>
          <w:color w:val="auto"/>
        </w:rPr>
      </w:pPr>
    </w:p>
    <w:p>
      <w:pPr>
        <w:spacing w:after="0" w:line="205"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up to $750,000,000 in the aggregate of the securities identified above from time to time in one or more offerings. This prospectus provides you with a general description of the securities.</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07" w:lineRule="exact"/>
        <w:rPr>
          <w:sz w:val="20"/>
          <w:szCs w:val="20"/>
          <w:color w:val="auto"/>
        </w:rPr>
      </w:pPr>
    </w:p>
    <w:p>
      <w:pPr>
        <w:ind w:left="126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7</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113"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“PRAX.” On February 29, 2024, the last reported sale price of our common stock on The Nasdaq Global Select Market was $46.78 per share.</w:t>
      </w:r>
    </w:p>
    <w:p>
      <w:pPr>
        <w:spacing w:after="0" w:line="104"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INCORPORATION BY REFERENCE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GLOBAL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Commission, or the SEC, using a “shelf” registration process. By using a shelf registration statement, we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sell securities from time to time and in one or more offerings up to a total dollar amount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$750,000,000 as described in this prospectus. Each time that we offer and sell securities, we will provide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supplement to this prospectus that contains specific information about the securities being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offered and sold and the specific terms of that offering. We may also authorize one or more free writing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prospectuses to be provided to you that may contain material information relating to these offerings.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supplement or free writing prospectus may also add, update or change information contained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prospectus with respect to that offering. If there is any inconsistency between the information in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and the applicable prospectus supplement or free writing prospectus, you should rely on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supplement or free writing prospectus, as applicable. Before purchasing any securities, you</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should carefully read both this prospectus and the applicable prospectus supplement (and any applicable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free writing prospectuses), together with the additional information described under the heading “Where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 Can Find More Information; Incorporation by Reference.”</w:t>
      </w:r>
    </w:p>
    <w:p>
      <w:pPr>
        <w:spacing w:after="0" w:line="13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341"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When we refer to “Praxis,” “we,” “our,” “us” and the “Company” in this prospectus, we mean Praxis Precision Medicines, Inc. and its consolidated subsidiaries, unless otherwise specified. When we refer to “you,” we mean the potential holders of the applicable series of securities.</w:t>
      </w:r>
    </w:p>
    <w:p>
      <w:pPr>
        <w:spacing w:after="0" w:line="10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have proprietary rights to trademarks, trade names and service marks appearing in this prospectus and the documents incorporated by reference herein that are important to our business. Solely for convenience, the trademarks, trade names and service marks may appear in this prospectus and the documents incorporated by reference herein without the ® and TM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in this prospectus and the documents incorporated by reference herein are the property of their respective owners.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any applicable prospectus supplement, any related free writing prospectus and the documents that we incorporate by reference herein or therein contain forward-looking statements within the meaning of Section 27A of the Securities Act of 1933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w:t>
      </w:r>
    </w:p>
    <w:p>
      <w:pPr>
        <w:spacing w:after="0" w:line="122"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include, but are not limited to, statements about:</w:t>
      </w:r>
    </w:p>
    <w:p>
      <w:pPr>
        <w:spacing w:after="0" w:line="79"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clinical trials;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license additional intellectual property relating to our product candidates from third parties and to comply with our existing license agreements and collaboration agreements;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research institution collaborators to continue research and development activities relating to our product candidates;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if approved, in light of the intellectual property rights of others;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if approved, commercialization of our product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if approved, commercialize our product candidates;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 if approved, and any other approved product;</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 and</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for the year ended December 31, 2023, and the section of any accompanying prospectus supplement entitled “Risk Factors.”</w:t>
      </w:r>
    </w:p>
    <w:p>
      <w:pPr>
        <w:spacing w:after="0" w:line="121"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forward-looking statements in this prospectus and the documents incorporated by reference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dates on which they were made.</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260" w:right="6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http://www.praxismedicines.com</w:t>
      </w:r>
      <w:r>
        <w:rPr>
          <w:rFonts w:ascii="Times New Roman" w:cs="Times New Roman" w:eastAsia="Times New Roman" w:hAnsi="Times New Roman"/>
          <w:sz w:val="18"/>
          <w:szCs w:val="18"/>
          <w:color w:val="auto"/>
        </w:rPr>
        <w:t>. The information on our website, however, is not, and should not be deemed to be, a part of this prospectus.</w:t>
      </w:r>
    </w:p>
    <w:p>
      <w:pPr>
        <w:spacing w:after="0" w:line="79"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337"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 (other than any information therein furnished to, rather than filed with, the SEC):</w:t>
      </w:r>
    </w:p>
    <w:p>
      <w:pPr>
        <w:spacing w:after="0" w:line="68" w:lineRule="exact"/>
        <w:rPr>
          <w:sz w:val="20"/>
          <w:szCs w:val="20"/>
          <w:color w:val="auto"/>
        </w:rPr>
      </w:pPr>
    </w:p>
    <w:p>
      <w:pPr>
        <w:ind w:left="1800" w:right="879" w:hanging="180"/>
        <w:spacing w:after="0" w:line="282" w:lineRule="auto"/>
        <w:tabs>
          <w:tab w:leader="none" w:pos="1800" w:val="left"/>
        </w:tabs>
        <w:numPr>
          <w:ilvl w:val="0"/>
          <w:numId w:val="27"/>
        </w:numPr>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our Annual Report on Form 10-K for the year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March 5, 2024.</w:t>
        </w:r>
      </w:hyperlink>
    </w:p>
    <w:p>
      <w:pPr>
        <w:spacing w:after="0" w:line="53" w:lineRule="exact"/>
        <w:rPr>
          <w:rFonts w:ascii="Times New Roman" w:cs="Times New Roman" w:eastAsia="Times New Roman" w:hAnsi="Times New Roman"/>
          <w:sz w:val="18"/>
          <w:szCs w:val="18"/>
          <w:u w:val="single" w:color="auto"/>
          <w:color w:val="0000EE"/>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96">
        <w:r>
          <w:rPr>
            <w:rFonts w:ascii="Times New Roman" w:cs="Times New Roman" w:eastAsia="Times New Roman" w:hAnsi="Times New Roman"/>
            <w:sz w:val="18"/>
            <w:szCs w:val="18"/>
            <w:u w:val="single" w:color="auto"/>
            <w:color w:val="0000EE"/>
          </w:rPr>
          <w:t>January 10,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(Items 3.02 and 8.01 only), </w:t>
      </w:r>
      <w:hyperlink r:id="rId97">
        <w:r>
          <w:rPr>
            <w:rFonts w:ascii="Times New Roman" w:cs="Times New Roman" w:eastAsia="Times New Roman" w:hAnsi="Times New Roman"/>
            <w:sz w:val="18"/>
            <w:szCs w:val="18"/>
            <w:u w:val="single" w:color="auto"/>
            <w:color w:val="0000EE"/>
          </w:rPr>
          <w:t>January 11,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8">
        <w:r>
          <w:rPr>
            <w:rFonts w:ascii="Times New Roman" w:cs="Times New Roman" w:eastAsia="Times New Roman" w:hAnsi="Times New Roman"/>
            <w:sz w:val="18"/>
            <w:szCs w:val="18"/>
            <w:u w:val="single" w:color="auto"/>
            <w:color w:val="0000EE"/>
          </w:rPr>
          <w:t xml:space="preserve">January 12,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8">
        <w:r>
          <w:rPr>
            <w:rFonts w:ascii="Times New Roman" w:cs="Times New Roman" w:eastAsia="Times New Roman" w:hAnsi="Times New Roman"/>
            <w:sz w:val="18"/>
            <w:szCs w:val="18"/>
            <w:u w:val="single" w:color="auto"/>
            <w:color w:val="0000EE"/>
          </w:rPr>
          <w:t xml:space="preserve">March 5, 2024 </w:t>
        </w:r>
      </w:hyperlink>
      <w:r>
        <w:rPr>
          <w:rFonts w:ascii="Times New Roman" w:cs="Times New Roman" w:eastAsia="Times New Roman" w:hAnsi="Times New Roman"/>
          <w:sz w:val="18"/>
          <w:szCs w:val="18"/>
          <w:color w:val="000000"/>
        </w:rPr>
        <w:t>(Item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8.01 only); and</w:t>
      </w:r>
    </w:p>
    <w:p>
      <w:pPr>
        <w:spacing w:after="0" w:line="53" w:lineRule="exact"/>
        <w:rPr>
          <w:rFonts w:ascii="Times New Roman" w:cs="Times New Roman" w:eastAsia="Times New Roman" w:hAnsi="Times New Roman"/>
          <w:sz w:val="18"/>
          <w:szCs w:val="18"/>
          <w:color w:val="0000EE"/>
        </w:rPr>
      </w:pPr>
    </w:p>
    <w:p>
      <w:pPr>
        <w:ind w:left="1800" w:right="579" w:hanging="180"/>
        <w:spacing w:after="0" w:line="266" w:lineRule="auto"/>
        <w:tabs>
          <w:tab w:leader="none" w:pos="1800" w:val="left"/>
        </w:tabs>
        <w:numPr>
          <w:ilvl w:val="0"/>
          <w:numId w:val="27"/>
        </w:numPr>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auto"/>
          </w:rPr>
          <w:t xml:space="preserve">the description of our Common Stock contained in our Registration Statement on </w:t>
        </w:r>
        <w:r>
          <w:rPr>
            <w:rFonts w:ascii="Times New Roman" w:cs="Times New Roman" w:eastAsia="Times New Roman" w:hAnsi="Times New Roman"/>
            <w:sz w:val="18"/>
            <w:szCs w:val="18"/>
            <w:u w:val="single" w:color="auto"/>
            <w:color w:val="0000EE"/>
          </w:rPr>
          <w:t>Form 8-A filed</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with the SEC on October 14, 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any amendment or report filed with the SEC for the purpose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updating the description.</w:t>
      </w:r>
    </w:p>
    <w:p>
      <w:pPr>
        <w:spacing w:after="0" w:line="95" w:lineRule="exact"/>
        <w:rPr>
          <w:rFonts w:ascii="Times New Roman" w:cs="Times New Roman" w:eastAsia="Times New Roman" w:hAnsi="Times New Roman"/>
          <w:sz w:val="18"/>
          <w:szCs w:val="18"/>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this prospectus and prior to the effectiveness of this prospectus,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1" w:lineRule="exact"/>
        <w:rPr>
          <w:rFonts w:ascii="Times New Roman" w:cs="Times New Roman" w:eastAsia="Times New Roman" w:hAnsi="Times New Roman"/>
          <w:sz w:val="18"/>
          <w:szCs w:val="18"/>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9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Praxis Precision Medicines, Inc.</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99 High Street, 30th Floor</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(617) 300-8460</w:t>
      </w:r>
    </w:p>
    <w:p>
      <w:pPr>
        <w:spacing w:after="0" w:line="139"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80" w:lineRule="exact"/>
        <w:rPr>
          <w:sz w:val="20"/>
          <w:szCs w:val="20"/>
          <w:color w:val="auto"/>
        </w:rPr>
      </w:pPr>
    </w:p>
    <w:p>
      <w:pPr>
        <w:ind w:left="1800" w:right="659" w:hanging="180"/>
        <w:spacing w:after="0" w:line="268"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Cerebrum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our small molecule platform, utilizes deep understanding of neuronal excitability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neuronal networks and applies a series of computational and experimental tools to develop orally available precision therapies</w:t>
      </w:r>
    </w:p>
    <w:p>
      <w:pPr>
        <w:spacing w:after="0" w:line="62" w:lineRule="exact"/>
        <w:rPr>
          <w:rFonts w:ascii="Times New Roman" w:cs="Times New Roman" w:eastAsia="Times New Roman" w:hAnsi="Times New Roman"/>
          <w:sz w:val="18"/>
          <w:szCs w:val="18"/>
          <w:color w:val="auto"/>
        </w:rPr>
      </w:pPr>
    </w:p>
    <w:p>
      <w:pPr>
        <w:ind w:left="1800" w:right="539" w:hanging="180"/>
        <w:spacing w:after="0" w:line="28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Solidus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our antisense oligonucleotide, or ASO, platform, is an efficient, targeted precision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medicine discovery and development engine anchored on a proprietary, computational methodology</w:t>
      </w:r>
    </w:p>
    <w:p>
      <w:pPr>
        <w:spacing w:after="0" w:line="91"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September 22, 2015. Our principal executive office is located at 99 High Street, 30th Floor, Boston, MA 02110, and our telephone number is</w:t>
      </w:r>
    </w:p>
    <w:p>
      <w:pPr>
        <w:ind w:left="1260" w:right="579"/>
        <w:spacing w:after="0" w:line="255" w:lineRule="auto"/>
        <w:tabs>
          <w:tab w:leader="none" w:pos="17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300-8460. Our website address is www.praxismedicines.com. We do not incorporate the information on or accessible through our website into this prospectus supplement, and you should not consider any information on, or that can be accessed through, our website as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“Special Note Regarding Forward-Looking Statements” included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96E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117"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 shares of common stock, $0.0001 par value;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$0.0001 par value.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dividends declared by our board of directors out of funds legally available for that purpose. Our common stock has no preemptive rights, conversion rights or other subscription rights or redemption or sinking fund provisions.</w:t>
      </w:r>
    </w:p>
    <w:p>
      <w:pPr>
        <w:spacing w:after="0" w:line="11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pro rata in the distribution of our assets remaining after payment of all debts and other liabilities.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Our board of directors or any authorized committee thereof is authorized,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Pursuant to the terms of our Fourth Amended and Restated Investors’ Rights Agreement, dated as of July 24, 2020, as amended, or the Investors’ Rights Agreement, certain of our stockholders are entitled to rights with respect to the registration of their shares (which we refer to herein as “registrable securities”) under the Securities Act, including demand registration rights and piggyback registration rights.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Form S-1 Registration Rights</w:t>
      </w:r>
    </w:p>
    <w:p>
      <w:pPr>
        <w:spacing w:after="0" w:line="16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Under the terms of the Investors’ Rights Agreement, we are required, upon the request of holders holding at least a majority of the registrable securities then outstanding, to file a registration statement on Form S-1 registering the resale of such holders’ registrable securities and the registrable securities of such other holders who elect to have their shares registered; provided that the anticipated aggregate offering price, net of related fees and expenses, of the registrable securities registered on such registration statement would equal at least $10 million. We are required to effect only two registrations pursuant to this provision of the Investors’ Rights Agreement.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Form S-3 Registration Rights</w:t>
      </w:r>
    </w:p>
    <w:p>
      <w:pPr>
        <w:spacing w:after="0" w:line="16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the Investors’ Rights Agreement, if we are eligible to file a registration statement on Form S-3, we are required, upon the request of holders holding at least a majority of the registrable</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securities then outstanding, to file a registration restatement on Form S-3 registering the resale of such holders’ registrable securities and the registrable securities of such other holders who elect to have their shares registered; provided that the anticipated aggregate offering price, net of related fees and expenses, of the registrable securities registered on such registration statement would equal at least $3 million. We are required to effect only two registrations in any twelve-month period pursuant to this provision of the Investors’ Rights Agreement.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Subject to certain exceptions, if we register any of our securities either for our own account or for the account of security holders other than the holders party to the Investors’ Rights Agreements, the holders of shares of registrable securities are entitled to include their shares in the registration. If our proposed registration involves an underwriting, the managing underwriter of such offering will have the right to limit the number of shares to be underwritten for reasons related to the marketing of the shares.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6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Expiration of Registration Rights</w:t>
      </w:r>
    </w:p>
    <w:p>
      <w:pPr>
        <w:spacing w:after="0" w:line="14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demand registration rights and short-form registration rights granted under the Investors’ Rights Agreement will terminate on the earliest to occur of: (i) the fifth anniversary of the completion of our initial public offering and (ii) as to each holder of registrable securities, such time as either Rule 144 as promulgated under the Securities Act or another similar exemption under the Securities Act is available for the sale of all of such holder’s shares without limitation during a three-month period without registration or such holder no longer holds any registrable securities.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w:t>
      </w: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Exclusive Jurisdiction for Certain Actions</w:t>
      </w:r>
    </w:p>
    <w:p>
      <w:pPr>
        <w:spacing w:after="0" w:line="16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or based on a fiduciary duty owed by any current or former director, officer or other employee or stockholder to us or our stockholders, (iii) any action asserting a claim against us or any current or former director, officer or other employee or stockholder arising pursuant to any provision of the DGCL, our certificate of incorporation or our bylaws or as to which the DGCL confers jurisdiction on the Court of Chancery of the State of Delaware, or (iv) any action asserting a claim governed by the internal affairs doctrine, in each case subject to said Court of Chancery having personal jurisdiction over the indispensable parties named as defendants therein; provided that, the provisions of this sentence do not apply to suits brought to enforce any liability or duty created by the Securities Act of 1933, as amended, or the Securities Exchange Act of 1934, as amended,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Any person or entity purchasing or otherwise acquiring any interest in shares of capital stock of the Corporation shall be deemed to have notice of and consented to these exclusive jurisdiction provisions.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p>
    <w:p>
      <w:pPr>
        <w:spacing w:after="0" w:line="16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Provisions of our certificate of incorporation and our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75" w:lineRule="exact"/>
        <w:rPr>
          <w:sz w:val="20"/>
          <w:szCs w:val="20"/>
          <w:color w:val="auto"/>
        </w:rPr>
      </w:pPr>
    </w:p>
    <w:p>
      <w:pPr>
        <w:ind w:left="1800" w:right="4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or any authorized committee thereof to issue up to 10,000,000 shares of preferred stock, with any rights, preferences and privileges as they may designate;</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adopted by the board of directors;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or any individual director may only be removed with cause and the affirmative vote of the holders of at least two thirds of the outstanding shares of capital stock then entitled vote at an election of directors;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subject to the rights of holders of preferred stock as designated from time to time,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w:t>
      </w: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w:t>
      </w:r>
    </w:p>
    <w:p>
      <w:pPr>
        <w:spacing w:after="0" w:line="53" w:lineRule="exact"/>
        <w:rPr>
          <w:rFonts w:ascii="Times New Roman" w:cs="Times New Roman" w:eastAsia="Times New Roman" w:hAnsi="Times New Roman"/>
          <w:sz w:val="18"/>
          <w:szCs w:val="18"/>
          <w:color w:val="auto"/>
        </w:rPr>
      </w:pPr>
    </w:p>
    <w:p>
      <w:pPr>
        <w:ind w:left="1800" w:right="77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spacing w:after="0" w:line="71" w:lineRule="exact"/>
        <w:rPr>
          <w:rFonts w:ascii="Times New Roman" w:cs="Times New Roman" w:eastAsia="Times New Roman" w:hAnsi="Times New Roman"/>
          <w:sz w:val="18"/>
          <w:szCs w:val="18"/>
          <w:color w:val="auto"/>
        </w:rPr>
      </w:pPr>
    </w:p>
    <w:p>
      <w:pPr>
        <w:jc w:val="both"/>
        <w:ind w:left="1800" w:right="9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67" w:lineRule="exact"/>
        <w:rPr>
          <w:rFonts w:ascii="Times New Roman" w:cs="Times New Roman" w:eastAsia="Times New Roman" w:hAnsi="Times New Roman"/>
          <w:sz w:val="18"/>
          <w:szCs w:val="18"/>
          <w:color w:val="auto"/>
        </w:rPr>
      </w:pPr>
    </w:p>
    <w:p>
      <w:pPr>
        <w:jc w:val="both"/>
        <w:ind w:left="1800" w:right="459" w:hanging="180"/>
        <w:spacing w:after="0" w:line="275"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acting pursuant to a resolution approved by the affirmative vote of a majority of the directors then in office; and</w:t>
      </w:r>
    </w:p>
    <w:p>
      <w:pPr>
        <w:spacing w:after="0" w:line="28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Court of Chancery of the State of Delaware will be the sole and exclusive forum for state law claims, as described above.</w:t>
      </w:r>
    </w:p>
    <w:p>
      <w:pPr>
        <w:spacing w:after="0" w:line="94"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amendment of any of these provisions included in our certificate of incorporation, with the exception of the ability of our board of directors to issue shares of preferred stock and designate any rights, preferences and privileges thereto, the removal of directors by our stockholders, the filling of vacancies by our board of directors, and cumulative voting rights, would require the affirmative vote of two thirds of the outstanding shares of capital stock entitled to vote on such amendment and the affirmative vote of two thirds of the outstanding shares of each class entitled to vote on such amendment as a class.</w:t>
      </w:r>
    </w:p>
    <w:p>
      <w:pPr>
        <w:spacing w:after="0" w:line="120"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amendment of any of these provisions included in our bylaws, with the exception of the exclusive forum provision, would require the affirmative vote of two thirds of the outstanding shares of capital stock entitled to vote on such amendment, and the affirmative vote of not less than two thirds of the outstanding shares of each class entitled to vote on such amendment as a class; provided, however, that if our Board of Directors recommends that stockholders approve such amendment, such amendment shall only require the affirmative vote of a majority of the outstanding shares entitled to vote on such amendment, voting together as a single class.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9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named in the applicable indenture,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used in this section only, “Praxis,” “we,” “our” or “us” refer to Praxis Precision Medicines, Inc.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excluding our subsidiaries, unless expressly stated or the context otherwise requires.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02" w:lineRule="exact"/>
        <w:rPr>
          <w:sz w:val="20"/>
          <w:szCs w:val="20"/>
          <w:color w:val="auto"/>
        </w:rPr>
      </w:pPr>
    </w:p>
    <w:p>
      <w:pPr>
        <w:jc w:val="both"/>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308"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8"/>
          <w:szCs w:val="18"/>
          <w:color w:val="auto"/>
        </w:rPr>
      </w:pPr>
    </w:p>
    <w:p>
      <w:pPr>
        <w:jc w:val="both"/>
        <w:ind w:left="1800" w:right="439" w:hanging="180"/>
        <w:spacing w:after="0" w:line="261"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jc w:val="both"/>
        <w:ind w:left="1800" w:right="4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40"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4"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4" w:lineRule="exact"/>
        <w:rPr>
          <w:rFonts w:ascii="Times New Roman" w:cs="Times New Roman" w:eastAsia="Times New Roman" w:hAnsi="Times New Roman"/>
          <w:sz w:val="18"/>
          <w:szCs w:val="18"/>
          <w:color w:val="auto"/>
        </w:rPr>
      </w:pPr>
    </w:p>
    <w:p>
      <w:pPr>
        <w:jc w:val="both"/>
        <w:ind w:left="1800" w:right="49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03"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4"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58"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4"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9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21"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32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1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4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54" w:lineRule="exact"/>
        <w:rPr>
          <w:sz w:val="20"/>
          <w:szCs w:val="20"/>
          <w:color w:val="auto"/>
        </w:rPr>
      </w:pPr>
    </w:p>
    <w:p>
      <w:pPr>
        <w:ind w:left="1800" w:right="4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successor person (if other than Praxis) is a corporation, partnership, trust or other entity organized and validly existing under the laws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9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17" w:lineRule="exact"/>
        <w:rPr>
          <w:sz w:val="20"/>
          <w:szCs w:val="20"/>
          <w:color w:val="auto"/>
        </w:rPr>
      </w:pPr>
    </w:p>
    <w:p>
      <w:pPr>
        <w:ind w:left="1800" w:right="51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Praxis and the trustee receive written notice from the holders of not less than 25% in principal amount of the outstanding debt securities of that series as provided in the indenture;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Praxis;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1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99"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6"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w:t>
      </w:r>
    </w:p>
    <w:p>
      <w:pPr>
        <w:spacing w:after="0" w:line="1"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1" w:lineRule="exact"/>
        <w:rPr>
          <w:sz w:val="20"/>
          <w:szCs w:val="20"/>
          <w:color w:val="auto"/>
        </w:rPr>
      </w:pPr>
    </w:p>
    <w:p>
      <w:pPr>
        <w:ind w:left="1800" w:right="6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0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54"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81"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4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34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applicable series of debt securities, upon compliance with certain conditions:</w:t>
      </w:r>
    </w:p>
    <w:p>
      <w:pPr>
        <w:spacing w:after="0" w:line="52" w:lineRule="exact"/>
        <w:rPr>
          <w:sz w:val="20"/>
          <w:szCs w:val="20"/>
          <w:color w:val="auto"/>
        </w:rPr>
      </w:pPr>
    </w:p>
    <w:p>
      <w:pPr>
        <w:ind w:left="1800" w:right="57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17" w:lineRule="exact"/>
        <w:rPr>
          <w:sz w:val="20"/>
          <w:szCs w:val="20"/>
          <w:color w:val="auto"/>
        </w:rPr>
      </w:pPr>
    </w:p>
    <w:p>
      <w:pPr>
        <w:ind w:left="1800" w:right="439" w:hanging="180"/>
        <w:spacing w:after="0" w:line="254"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94"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1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54" w:lineRule="exact"/>
        <w:rPr>
          <w:sz w:val="20"/>
          <w:szCs w:val="20"/>
          <w:color w:val="auto"/>
        </w:rPr>
      </w:pPr>
    </w:p>
    <w:p>
      <w:pPr>
        <w:ind w:left="1800" w:right="53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0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17"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shareholders with respect to any meeting of shareholders for the election of our directors or any other matter;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shareholders of Praxis.</w:t>
      </w:r>
    </w:p>
    <w:p>
      <w:pPr>
        <w:spacing w:after="0" w:line="14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39"/>
        <w:spacing w:after="0" w:line="266" w:lineRule="auto"/>
        <w:rPr>
          <w:sz w:val="20"/>
          <w:szCs w:val="20"/>
          <w:color w:val="auto"/>
        </w:rPr>
      </w:pPr>
      <w:r>
        <w:rPr>
          <w:rFonts w:ascii="Times New Roman" w:cs="Times New Roman" w:eastAsia="Times New Roman" w:hAnsi="Times New Roman"/>
          <w:sz w:val="18"/>
          <w:szCs w:val="18"/>
          <w:color w:val="auto"/>
        </w:rPr>
        <w:t>will not have any rights of holders of the underlying common stock or preferred stock, including any rights to receive dividends or payments upon any liquidation, dissolution or winding up on the common stock or preferred stock,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1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54"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17"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5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2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32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34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34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9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54" w:lineRule="exact"/>
        <w:rPr>
          <w:sz w:val="20"/>
          <w:szCs w:val="20"/>
          <w:color w:val="auto"/>
        </w:rPr>
      </w:pPr>
    </w:p>
    <w:p>
      <w:pPr>
        <w:ind w:left="1800" w:right="519" w:hanging="180"/>
        <w:spacing w:after="0" w:line="258"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158" w:lineRule="exact"/>
        <w:rPr>
          <w:sz w:val="20"/>
          <w:szCs w:val="20"/>
          <w:color w:val="auto"/>
        </w:rPr>
      </w:pPr>
    </w:p>
    <w:p>
      <w:pPr>
        <w:ind w:left="1260" w:right="559"/>
        <w:spacing w:after="0" w:line="257"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1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1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1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34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69"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4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0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Any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Rule 415(a)(4) under the Securities Act. In addition, we may enter into derivative transactions with third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parties, or sell securities not covered by this prospectus to third parties in privately negotiated transactions.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the applicable prospectus supplement so indicates, in connection with those derivatives, the third parties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sell securities covered by this prospectus and the applicable prospectus supplement, including in short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 transactions. If so, the third party may use securities pledged by us or borrowed from us or others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settle those sales or to close out any related open borrowings of stock, and may use securities received from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 in settlement of those derivatives to close out any related open borrowings of stock. The third party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sale transactions will be an underwriter and, if not identified in this prospectus, will be named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applicable prospectus supplement (or a post-effective amendment). In addition, we may otherwise loan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pledge securities to a financial institution or other third party that in turn may sell the securities short using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prospectus and an applicable prospectus supplement. Such financial institution or other third party may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transfer its economic short position to investors in our securities or in connection with a concurrent offering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other securities.</w:t>
      </w:r>
    </w:p>
    <w:p>
      <w:pPr>
        <w:spacing w:after="0" w:line="1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9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Praxis Precision Medicines, Inc. Additional legal matters may be passed upon for us or any underwriters, dealers or agents, by counsel that we will name in the applicable prospectus supplement.</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Praxis Precision Medicines, Inc. appearing in Praxis Precision Medicines, Inc.’s </w:t>
      </w:r>
      <w:hyperlink r:id="rId124">
        <w:r>
          <w:rPr>
            <w:rFonts w:ascii="Times New Roman" w:cs="Times New Roman" w:eastAsia="Times New Roman" w:hAnsi="Times New Roman"/>
            <w:sz w:val="18"/>
            <w:szCs w:val="18"/>
            <w:u w:val="single" w:color="auto"/>
            <w:color w:val="0000EE"/>
          </w:rPr>
          <w:t>Annual Report (Form 10-K) for the year ended December 31, 2023</w:t>
        </w:r>
      </w:hyperlink>
      <w:r>
        <w:rPr>
          <w:rFonts w:ascii="Times New Roman" w:cs="Times New Roman" w:eastAsia="Times New Roman" w:hAnsi="Times New Roman"/>
          <w:sz w:val="18"/>
          <w:szCs w:val="18"/>
          <w:color w:val="auto"/>
        </w:rPr>
        <w:t>,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32"/>
          <w:szCs w:val="32"/>
          <w:b w:val="1"/>
          <w:bCs w:val="1"/>
          <w:color w:val="596E80"/>
        </w:rPr>
        <w:t>PRAXIS PRECISION MEDICINES, INC.</w:t>
      </w:r>
    </w:p>
    <w:p>
      <w:pPr>
        <w:spacing w:after="0" w:line="200" w:lineRule="exact"/>
        <w:rPr>
          <w:sz w:val="20"/>
          <w:szCs w:val="20"/>
          <w:color w:val="auto"/>
        </w:rPr>
      </w:pPr>
    </w:p>
    <w:p>
      <w:pPr>
        <w:spacing w:after="0" w:line="22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9"/>
          <w:szCs w:val="29"/>
          <w:b w:val="1"/>
          <w:bCs w:val="1"/>
          <w:color w:val="596E80"/>
        </w:rPr>
        <w:t>3,318,585 Shares of Common Stock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8" w:lineRule="auto"/>
        <w:rPr>
          <w:sz w:val="20"/>
          <w:szCs w:val="20"/>
          <w:color w:val="auto"/>
        </w:rPr>
      </w:pPr>
      <w:r>
        <w:rPr>
          <w:rFonts w:ascii="Times New Roman" w:cs="Times New Roman" w:eastAsia="Times New Roman" w:hAnsi="Times New Roman"/>
          <w:sz w:val="29"/>
          <w:szCs w:val="29"/>
          <w:b w:val="1"/>
          <w:bCs w:val="1"/>
          <w:color w:val="596E80"/>
        </w:rPr>
        <w:t>Pre-funded Warrants to Purchase 221,238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1522730</wp:posOffset>
            </wp:positionV>
            <wp:extent cx="12344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400050</wp:posOffset>
            </wp:positionV>
            <wp:extent cx="1431290" cy="5740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43129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9"/>
          <w:szCs w:val="29"/>
          <w:b w:val="1"/>
          <w:bCs w:val="1"/>
          <w:color w:val="596E80"/>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138430</wp:posOffset>
            </wp:positionV>
            <wp:extent cx="12344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596E80"/>
        </w:rPr>
        <w:t>Book-Running Managers</w:t>
      </w:r>
    </w:p>
    <w:p>
      <w:pPr>
        <w:spacing w:after="0" w:line="117" w:lineRule="exact"/>
        <w:rPr>
          <w:sz w:val="20"/>
          <w:szCs w:val="20"/>
          <w:color w:val="auto"/>
        </w:rPr>
      </w:pPr>
    </w:p>
    <w:p>
      <w:pPr>
        <w:jc w:val="right"/>
        <w:ind w:right="419"/>
        <w:spacing w:after="0"/>
        <w:tabs>
          <w:tab w:leader="none" w:pos="5800" w:val="left"/>
          <w:tab w:leader="none" w:pos="2240" w:val="left"/>
        </w:tabs>
        <w:rPr>
          <w:sz w:val="20"/>
          <w:szCs w:val="20"/>
          <w:color w:val="auto"/>
        </w:rPr>
      </w:pPr>
      <w:r>
        <w:rPr>
          <w:rFonts w:ascii="Times New Roman" w:cs="Times New Roman" w:eastAsia="Times New Roman" w:hAnsi="Times New Roman"/>
          <w:sz w:val="32"/>
          <w:szCs w:val="32"/>
          <w:b w:val="1"/>
          <w:bCs w:val="1"/>
          <w:color w:val="596E80"/>
        </w:rPr>
        <w:t>Piper Sandler</w:t>
        <w:tab/>
        <w:t>Guggenheim Securities</w:t>
      </w:r>
      <w:r>
        <w:rPr>
          <w:sz w:val="20"/>
          <w:szCs w:val="20"/>
          <w:color w:val="auto"/>
        </w:rPr>
        <w:tab/>
      </w:r>
      <w:r>
        <w:rPr>
          <w:rFonts w:ascii="Times New Roman" w:cs="Times New Roman" w:eastAsia="Times New Roman" w:hAnsi="Times New Roman"/>
          <w:sz w:val="31"/>
          <w:szCs w:val="31"/>
          <w:b w:val="1"/>
          <w:bCs w:val="1"/>
          <w:color w:val="596E80"/>
        </w:rPr>
        <w:t>Truist Securities</w:t>
      </w:r>
    </w:p>
    <w:p>
      <w:pPr>
        <w:spacing w:after="0" w:line="200" w:lineRule="exact"/>
        <w:rPr>
          <w:sz w:val="20"/>
          <w:szCs w:val="20"/>
          <w:color w:val="auto"/>
        </w:rPr>
      </w:pPr>
    </w:p>
    <w:p>
      <w:pPr>
        <w:spacing w:after="0" w:line="3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596E80"/>
        </w:rPr>
        <w:t>Co-Lead Managers</w:t>
      </w:r>
    </w:p>
    <w:p>
      <w:pPr>
        <w:sectPr>
          <w:pgSz w:w="11900" w:h="16838" w:orient="portrait"/>
          <w:cols w:equalWidth="0" w:num="1">
            <w:col w:w="9879"/>
          </w:cols>
          <w:pgMar w:left="580" w:top="97" w:right="1440" w:bottom="1440" w:gutter="0" w:footer="0" w:header="0"/>
        </w:sectPr>
      </w:pP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9"/>
          <w:szCs w:val="29"/>
          <w:b w:val="1"/>
          <w:bCs w:val="1"/>
          <w:color w:val="596E80"/>
        </w:rPr>
        <w:t>​H.C. Wainwright &amp; Co. ​</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596E80"/>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9"/>
          <w:szCs w:val="29"/>
          <w:b w:val="1"/>
          <w:bCs w:val="1"/>
          <w:color w:val="596E80"/>
        </w:rPr>
        <w:t>Needham &amp; Company ​</w:t>
      </w:r>
    </w:p>
    <w:p>
      <w:pPr>
        <w:spacing w:after="0" w:line="200" w:lineRule="exact"/>
        <w:rPr>
          <w:sz w:val="20"/>
          <w:szCs w:val="20"/>
          <w:color w:val="auto"/>
        </w:rPr>
      </w:pPr>
    </w:p>
    <w:p>
      <w:pPr>
        <w:sectPr>
          <w:pgSz w:w="11900" w:h="16838" w:orient="portrait"/>
          <w:cols w:equalWidth="0" w:num="3">
            <w:col w:w="4740" w:space="720"/>
            <w:col w:w="80" w:space="720"/>
            <w:col w:w="3619"/>
          </w:cols>
          <w:pgMar w:left="580" w:top="97"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596E80"/>
        </w:rPr>
        <w:t>March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2132965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lowerLetter"/>
      <w:start w:val="3"/>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lowerRoman"/>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amp;"/>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617"/>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jpe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jpeg"/><Relationship Id="rId128" Type="http://schemas.openxmlformats.org/officeDocument/2006/relationships/image" Target="media/image110.png"/><Relationship Id="rId129" Type="http://schemas.openxmlformats.org/officeDocument/2006/relationships/image" Target="media/image111.png"/><Relationship Id="rId35" Type="http://schemas.openxmlformats.org/officeDocument/2006/relationships/hyperlink" Target="http://www.sec.gov/ix?doc=/Archives/edgar/data/1689548/000168954824000034/prax-20231231.htm" TargetMode="External"/><Relationship Id="rId75" Type="http://schemas.openxmlformats.org/officeDocument/2006/relationships/hyperlink" Target="http://www.sec.gov/ix?doc=/Archives/edgar/data/1689548/000168954824000011/prax-20240104.htm" TargetMode="External"/><Relationship Id="rId76" Type="http://schemas.openxmlformats.org/officeDocument/2006/relationships/hyperlink" Target="http://www.sec.gov/ix?doc=/Archives/edgar/data/1689548/000168954824000013/prax-20240110.htm" TargetMode="External"/><Relationship Id="rId77" Type="http://schemas.openxmlformats.org/officeDocument/2006/relationships/hyperlink" Target="http://www.sec.gov/ix?doc=/Archives/edgar/data/1689548/000110465924003764/tm243213d1_8k.htm" TargetMode="External"/><Relationship Id="rId78" Type="http://schemas.openxmlformats.org/officeDocument/2006/relationships/hyperlink" Target="http://www.sec.gov/ix?doc=/Archives/edgar/data/1689548/000168954824000035/prax-20240305.htm" TargetMode="External"/><Relationship Id="rId79" Type="http://schemas.openxmlformats.org/officeDocument/2006/relationships/hyperlink" Target="http://www.sec.gov/ix?doc=/Archives/edgar/data/1689548/000168954824000041/prax-20240326.htm" TargetMode="External"/><Relationship Id="rId80" Type="http://schemas.openxmlformats.org/officeDocument/2006/relationships/hyperlink" Target="https://www.sec.gov/Archives/edgar/data/1689548/000119312520269310/d73161d8a12b.htm" TargetMode="External"/><Relationship Id="rId96" Type="http://schemas.openxmlformats.org/officeDocument/2006/relationships/hyperlink" Target="https://www.sec.gov/ix?doc=/Archives/edgar/data/1689548/000168954824000011/prax-20240104.htm" TargetMode="External"/><Relationship Id="rId97" Type="http://schemas.openxmlformats.org/officeDocument/2006/relationships/hyperlink" Target="https://www.sec.gov/ix?doc=/Archives/edgar/data/1689548/000168954824000013/prax-20240110.htm" TargetMode="External"/><Relationship Id="rId98" Type="http://schemas.openxmlformats.org/officeDocument/2006/relationships/hyperlink" Target="https://www.sec.gov/ix?doc=/Archives/edgar/data/1689548/000110465924003764/tm243213d1_8k.htm" TargetMode="External"/><Relationship Id="rId124" Type="http://schemas.openxmlformats.org/officeDocument/2006/relationships/hyperlink" Target="https://www.sec.gov/ix?doc=/Archives/edgar/data/1689548/000168954824000034/pra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2024-03-29T15:38:15Z</dcterms:created>
  <dcterms:modified xsi:type="dcterms:W3CDTF">2024-03-29T15:38:15Z</dcterms:modified>
</cp:coreProperties>
</file>